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459C" w14:textId="77777777" w:rsidR="0016773E" w:rsidRDefault="0016773E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Call for Nominations</w:t>
      </w:r>
    </w:p>
    <w:p w14:paraId="2C0B40F3" w14:textId="5FDEBCB5" w:rsidR="0016773E" w:rsidRDefault="00167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7D3DB9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Henry L. Barnett Award</w:t>
      </w:r>
    </w:p>
    <w:p w14:paraId="46C7647F" w14:textId="77777777" w:rsidR="0016773E" w:rsidRDefault="0016773E"/>
    <w:p w14:paraId="6A673B25" w14:textId="04959273" w:rsidR="0016773E" w:rsidRDefault="0016773E">
      <w:pPr>
        <w:rPr>
          <w:sz w:val="22"/>
        </w:rPr>
      </w:pPr>
      <w:r>
        <w:rPr>
          <w:sz w:val="22"/>
        </w:rPr>
        <w:t>The American Academy of Pediatrics Section on Nephrology is now accepting nominations for the 20</w:t>
      </w:r>
      <w:r w:rsidR="007D3DB9">
        <w:rPr>
          <w:sz w:val="22"/>
        </w:rPr>
        <w:t>20</w:t>
      </w:r>
      <w:r>
        <w:rPr>
          <w:sz w:val="22"/>
        </w:rPr>
        <w:t xml:space="preserve"> Henry L. Barnett Award.</w:t>
      </w:r>
    </w:p>
    <w:p w14:paraId="1554E092" w14:textId="77777777" w:rsidR="0016773E" w:rsidRDefault="0016773E">
      <w:pPr>
        <w:rPr>
          <w:sz w:val="22"/>
        </w:rPr>
      </w:pPr>
    </w:p>
    <w:p w14:paraId="74380A9E" w14:textId="77777777" w:rsidR="0016773E" w:rsidRDefault="0016773E">
      <w:pPr>
        <w:pStyle w:val="Heading1"/>
        <w:rPr>
          <w:sz w:val="24"/>
          <w:u w:val="single"/>
        </w:rPr>
      </w:pPr>
      <w:r>
        <w:rPr>
          <w:sz w:val="24"/>
          <w:u w:val="single"/>
        </w:rPr>
        <w:t>Background</w:t>
      </w:r>
    </w:p>
    <w:p w14:paraId="24FC377A" w14:textId="77777777" w:rsidR="00B14F1C" w:rsidRPr="00EA3387" w:rsidRDefault="0016773E" w:rsidP="00EA3387">
      <w:pPr>
        <w:pStyle w:val="NormalWeb"/>
        <w:rPr>
          <w:sz w:val="22"/>
          <w:szCs w:val="22"/>
        </w:rPr>
      </w:pPr>
      <w:r>
        <w:rPr>
          <w:sz w:val="22"/>
        </w:rPr>
        <w:t>This award was established in 1990 as the Kidney Award, but the name was changed in 1994 to the Henry L. Barnett Award to recognize the contributions of Dr</w:t>
      </w:r>
      <w:r w:rsidR="00B14F1C">
        <w:rPr>
          <w:sz w:val="22"/>
        </w:rPr>
        <w:t>.</w:t>
      </w:r>
      <w:r>
        <w:rPr>
          <w:sz w:val="22"/>
        </w:rPr>
        <w:t xml:space="preserve"> Barnett to the field of pediatric nephrology.</w:t>
      </w:r>
      <w:r w:rsidR="00BC3707">
        <w:rPr>
          <w:sz w:val="22"/>
        </w:rPr>
        <w:t xml:space="preserve">  </w:t>
      </w:r>
      <w:r w:rsidR="00EA3387" w:rsidRPr="00EA3387">
        <w:rPr>
          <w:sz w:val="22"/>
          <w:szCs w:val="22"/>
        </w:rPr>
        <w:t xml:space="preserve">The </w:t>
      </w:r>
      <w:hyperlink r:id="rId7" w:history="1">
        <w:r w:rsidR="00EA3387" w:rsidRPr="00EA3387">
          <w:rPr>
            <w:sz w:val="22"/>
            <w:szCs w:val="22"/>
          </w:rPr>
          <w:t xml:space="preserve">Pediatric History Center </w:t>
        </w:r>
        <w:r w:rsidR="00EA3387" w:rsidRPr="00EA3387">
          <w:t>(PHC)</w:t>
        </w:r>
      </w:hyperlink>
      <w:r w:rsidR="00EA3387" w:rsidRPr="00EA3387">
        <w:rPr>
          <w:sz w:val="22"/>
          <w:szCs w:val="22"/>
        </w:rPr>
        <w:t xml:space="preserve"> houses all historic and official Academy records. Publications, policy statements, selected documents, photographs, and books on AAP history are preserved as a lasting record and resource that documents the Academy role in “advancing child health”.</w:t>
      </w:r>
      <w:r w:rsidR="00EA3387">
        <w:rPr>
          <w:sz w:val="22"/>
          <w:szCs w:val="22"/>
        </w:rPr>
        <w:t xml:space="preserve">  </w:t>
      </w:r>
      <w:r w:rsidR="00EA3387" w:rsidRPr="00EA3387">
        <w:rPr>
          <w:sz w:val="22"/>
          <w:szCs w:val="22"/>
        </w:rPr>
        <w:t xml:space="preserve">The PHC also includes oral histories, interviews of pediatric leaders including Dr. Henry Barnett.  You can view this interview </w:t>
      </w:r>
      <w:hyperlink r:id="rId8" w:history="1">
        <w:r w:rsidR="00EA3387" w:rsidRPr="00EA3387">
          <w:rPr>
            <w:rStyle w:val="Hyperlink"/>
            <w:sz w:val="22"/>
            <w:szCs w:val="22"/>
          </w:rPr>
          <w:t>here</w:t>
        </w:r>
      </w:hyperlink>
      <w:r w:rsidR="00EA3387" w:rsidRPr="00EA3387">
        <w:rPr>
          <w:sz w:val="22"/>
          <w:szCs w:val="22"/>
        </w:rPr>
        <w:t>.</w:t>
      </w:r>
    </w:p>
    <w:p w14:paraId="7AE90255" w14:textId="77777777" w:rsidR="00B14F1C" w:rsidRDefault="0016773E">
      <w:pPr>
        <w:rPr>
          <w:b/>
          <w:bCs/>
          <w:u w:val="single"/>
        </w:rPr>
      </w:pPr>
      <w:r>
        <w:rPr>
          <w:b/>
          <w:bCs/>
          <w:u w:val="single"/>
        </w:rPr>
        <w:t>Qualifications and Nominations Procedure</w:t>
      </w:r>
    </w:p>
    <w:p w14:paraId="580B6DDD" w14:textId="77777777" w:rsidR="0016773E" w:rsidRDefault="0016773E">
      <w:pPr>
        <w:rPr>
          <w:sz w:val="22"/>
        </w:rPr>
      </w:pPr>
      <w:r>
        <w:rPr>
          <w:sz w:val="22"/>
        </w:rPr>
        <w:t>The AAP Section on Nephrology recognize</w:t>
      </w:r>
      <w:r w:rsidR="00066D60">
        <w:rPr>
          <w:sz w:val="22"/>
        </w:rPr>
        <w:t>s</w:t>
      </w:r>
      <w:r>
        <w:rPr>
          <w:sz w:val="22"/>
        </w:rPr>
        <w:t xml:space="preserve"> one individual</w:t>
      </w:r>
      <w:r w:rsidR="00066D60">
        <w:rPr>
          <w:sz w:val="22"/>
        </w:rPr>
        <w:t xml:space="preserve"> yearly</w:t>
      </w:r>
      <w:r>
        <w:rPr>
          <w:sz w:val="22"/>
        </w:rPr>
        <w:t xml:space="preserve"> for lifetime achievement in the field of pediatric nephrology.  Any pediatric nephrologist can be nominated for this award.  This individual should meet one or </w:t>
      </w:r>
      <w:r w:rsidR="0048109D">
        <w:rPr>
          <w:sz w:val="22"/>
        </w:rPr>
        <w:t>more</w:t>
      </w:r>
      <w:r>
        <w:rPr>
          <w:sz w:val="22"/>
        </w:rPr>
        <w:t xml:space="preserve"> of the following qualifications:</w:t>
      </w:r>
    </w:p>
    <w:p w14:paraId="4982A235" w14:textId="77777777" w:rsidR="0016773E" w:rsidRDefault="0016773E">
      <w:pPr>
        <w:rPr>
          <w:sz w:val="22"/>
        </w:rPr>
      </w:pPr>
    </w:p>
    <w:p w14:paraId="3395ACD0" w14:textId="77777777" w:rsidR="0048109D" w:rsidRPr="0048109D" w:rsidRDefault="0048109D" w:rsidP="0048109D">
      <w:pPr>
        <w:numPr>
          <w:ilvl w:val="0"/>
          <w:numId w:val="6"/>
        </w:numPr>
        <w:rPr>
          <w:sz w:val="22"/>
          <w:szCs w:val="22"/>
        </w:rPr>
      </w:pPr>
      <w:r w:rsidRPr="0048109D">
        <w:rPr>
          <w:sz w:val="22"/>
          <w:szCs w:val="22"/>
        </w:rPr>
        <w:t>Dedication to teaching nephrology</w:t>
      </w:r>
    </w:p>
    <w:p w14:paraId="10136E13" w14:textId="77777777" w:rsidR="0048109D" w:rsidRPr="0048109D" w:rsidRDefault="0048109D" w:rsidP="0048109D">
      <w:pPr>
        <w:numPr>
          <w:ilvl w:val="0"/>
          <w:numId w:val="6"/>
        </w:numPr>
        <w:rPr>
          <w:sz w:val="22"/>
          <w:szCs w:val="22"/>
        </w:rPr>
      </w:pPr>
      <w:r w:rsidRPr="0048109D">
        <w:rPr>
          <w:sz w:val="22"/>
          <w:szCs w:val="22"/>
        </w:rPr>
        <w:t>Contributions to advocacy for chil</w:t>
      </w:r>
      <w:r w:rsidR="002F32B2">
        <w:rPr>
          <w:sz w:val="22"/>
          <w:szCs w:val="22"/>
        </w:rPr>
        <w:t>dren</w:t>
      </w:r>
    </w:p>
    <w:p w14:paraId="54727F74" w14:textId="77777777" w:rsidR="0048109D" w:rsidRPr="0048109D" w:rsidRDefault="0048109D" w:rsidP="0048109D">
      <w:pPr>
        <w:numPr>
          <w:ilvl w:val="0"/>
          <w:numId w:val="6"/>
        </w:numPr>
        <w:rPr>
          <w:sz w:val="22"/>
          <w:szCs w:val="22"/>
        </w:rPr>
      </w:pPr>
      <w:r w:rsidRPr="0048109D">
        <w:rPr>
          <w:sz w:val="22"/>
          <w:szCs w:val="22"/>
        </w:rPr>
        <w:t xml:space="preserve">Distinguished service to the field of pediatric nephrology </w:t>
      </w:r>
    </w:p>
    <w:p w14:paraId="479079F4" w14:textId="77777777" w:rsidR="00B14F1C" w:rsidRDefault="00B14F1C" w:rsidP="00CE4543">
      <w:pPr>
        <w:rPr>
          <w:sz w:val="22"/>
        </w:rPr>
      </w:pPr>
    </w:p>
    <w:p w14:paraId="0CA3664D" w14:textId="08B0BE56" w:rsidR="00B14F1C" w:rsidRDefault="0016773E" w:rsidP="00CE4543">
      <w:pPr>
        <w:rPr>
          <w:sz w:val="22"/>
        </w:rPr>
      </w:pPr>
      <w:r>
        <w:rPr>
          <w:sz w:val="22"/>
        </w:rPr>
        <w:t>C</w:t>
      </w:r>
      <w:r>
        <w:rPr>
          <w:i/>
          <w:iCs/>
        </w:rPr>
        <w:t>urrent members of the Section on Nephrology Executive Committee may not be nominated.</w:t>
      </w:r>
      <w:r w:rsidR="00B14F1C">
        <w:rPr>
          <w:i/>
          <w:iCs/>
        </w:rPr>
        <w:t xml:space="preserve">  </w:t>
      </w:r>
      <w:r w:rsidR="00E00A80" w:rsidRPr="00E00A80">
        <w:rPr>
          <w:b/>
          <w:bCs/>
          <w:sz w:val="22"/>
          <w:szCs w:val="22"/>
        </w:rPr>
        <w:t>Previous nominations will automatically be considered for 3 consecutive years</w:t>
      </w:r>
      <w:r w:rsidR="00E00A80" w:rsidRPr="00E00A80">
        <w:rPr>
          <w:rFonts w:ascii="Arial" w:hAnsi="Arial"/>
          <w:b/>
          <w:bCs/>
          <w:sz w:val="22"/>
          <w:szCs w:val="22"/>
        </w:rPr>
        <w:t>.</w:t>
      </w:r>
      <w:r w:rsidR="00E00A80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sz w:val="22"/>
        </w:rPr>
        <w:t>Nominations must be in writing and should clearly state the basis for the recommendation</w:t>
      </w:r>
      <w:r w:rsidR="00066D60">
        <w:rPr>
          <w:sz w:val="22"/>
        </w:rPr>
        <w:t>,</w:t>
      </w:r>
      <w:r>
        <w:rPr>
          <w:sz w:val="22"/>
        </w:rPr>
        <w:t xml:space="preserve"> including the nominee’s qualifications for the award and examples of relevant achievements.  Please submit the Nomination Form, Nomination Letter, along with a copy of the nominee’s CV either electronically (</w:t>
      </w:r>
      <w:hyperlink r:id="rId9" w:history="1">
        <w:r w:rsidRPr="004F3257">
          <w:rPr>
            <w:rStyle w:val="Hyperlink"/>
            <w:sz w:val="22"/>
          </w:rPr>
          <w:t>skirkwood@aap.org</w:t>
        </w:r>
      </w:hyperlink>
      <w:r>
        <w:rPr>
          <w:sz w:val="22"/>
        </w:rPr>
        <w:t>)</w:t>
      </w:r>
      <w:r w:rsidR="008E14EE">
        <w:rPr>
          <w:sz w:val="22"/>
        </w:rPr>
        <w:t>,</w:t>
      </w:r>
      <w:r>
        <w:rPr>
          <w:sz w:val="22"/>
        </w:rPr>
        <w:t xml:space="preserve"> via fax (847/434-8000 </w:t>
      </w:r>
      <w:proofErr w:type="spellStart"/>
      <w:r>
        <w:rPr>
          <w:sz w:val="22"/>
        </w:rPr>
        <w:t>attn:</w:t>
      </w:r>
      <w:proofErr w:type="spellEnd"/>
      <w:r>
        <w:rPr>
          <w:sz w:val="22"/>
        </w:rPr>
        <w:t xml:space="preserve"> Suzanne Kirkwood) or to the address below. </w:t>
      </w:r>
      <w:r>
        <w:t xml:space="preserve">Nominations are limited to one per nominator. </w:t>
      </w:r>
      <w:r>
        <w:rPr>
          <w:b/>
          <w:i/>
        </w:rPr>
        <w:t xml:space="preserve">Please note: previous nominations can be resubmitted with a brief letter indicating nominator and the name of nominee. </w:t>
      </w:r>
      <w:r>
        <w:rPr>
          <w:sz w:val="22"/>
        </w:rPr>
        <w:t xml:space="preserve">The deadline for nominations is </w:t>
      </w:r>
      <w:r w:rsidR="00F86419" w:rsidRPr="00D04CF5">
        <w:rPr>
          <w:b/>
          <w:sz w:val="22"/>
        </w:rPr>
        <w:t xml:space="preserve">September </w:t>
      </w:r>
      <w:r w:rsidR="007D3DB9">
        <w:rPr>
          <w:b/>
          <w:sz w:val="22"/>
        </w:rPr>
        <w:t>30</w:t>
      </w:r>
      <w:r w:rsidR="00F86419" w:rsidRPr="00D04CF5">
        <w:rPr>
          <w:b/>
          <w:sz w:val="22"/>
        </w:rPr>
        <w:t>, 201</w:t>
      </w:r>
      <w:r w:rsidR="007D3DB9">
        <w:rPr>
          <w:b/>
          <w:sz w:val="22"/>
        </w:rPr>
        <w:t>9</w:t>
      </w:r>
      <w:r>
        <w:rPr>
          <w:sz w:val="22"/>
        </w:rPr>
        <w:t>.</w:t>
      </w:r>
      <w:r w:rsidR="00B14F1C">
        <w:rPr>
          <w:sz w:val="22"/>
        </w:rPr>
        <w:t xml:space="preserve">  </w:t>
      </w:r>
    </w:p>
    <w:p w14:paraId="73985795" w14:textId="77777777" w:rsidR="006F67CF" w:rsidRDefault="006F67CF" w:rsidP="00CE4543">
      <w:pPr>
        <w:rPr>
          <w:sz w:val="22"/>
        </w:rPr>
      </w:pPr>
    </w:p>
    <w:p w14:paraId="3664F780" w14:textId="77777777" w:rsidR="0016773E" w:rsidRDefault="0016773E" w:rsidP="00996DF4">
      <w:pPr>
        <w:jc w:val="center"/>
        <w:rPr>
          <w:sz w:val="22"/>
        </w:rPr>
      </w:pPr>
      <w:r>
        <w:rPr>
          <w:sz w:val="22"/>
        </w:rPr>
        <w:t>American Academy of Pediatrics, Section on Nephrology</w:t>
      </w:r>
    </w:p>
    <w:p w14:paraId="5A77B374" w14:textId="77777777" w:rsidR="0016773E" w:rsidRDefault="0016773E" w:rsidP="00996DF4">
      <w:pPr>
        <w:jc w:val="center"/>
        <w:rPr>
          <w:sz w:val="22"/>
        </w:rPr>
      </w:pPr>
      <w:r>
        <w:rPr>
          <w:sz w:val="22"/>
        </w:rPr>
        <w:t>201</w:t>
      </w:r>
      <w:r w:rsidR="000A553B">
        <w:rPr>
          <w:sz w:val="22"/>
        </w:rPr>
        <w:t>9</w:t>
      </w:r>
      <w:r>
        <w:rPr>
          <w:sz w:val="22"/>
        </w:rPr>
        <w:t xml:space="preserve"> Henry L. Barnett Award</w:t>
      </w:r>
    </w:p>
    <w:p w14:paraId="3D2C4DB2" w14:textId="77777777" w:rsidR="006F67CF" w:rsidRDefault="000A553B" w:rsidP="00EA3387">
      <w:pPr>
        <w:jc w:val="center"/>
        <w:rPr>
          <w:sz w:val="22"/>
        </w:rPr>
      </w:pPr>
      <w:r w:rsidRPr="000A553B">
        <w:rPr>
          <w:sz w:val="22"/>
          <w:szCs w:val="22"/>
        </w:rPr>
        <w:t>345 Park Blvd</w:t>
      </w:r>
      <w:r>
        <w:rPr>
          <w:sz w:val="22"/>
          <w:szCs w:val="22"/>
        </w:rPr>
        <w:t xml:space="preserve">, </w:t>
      </w:r>
      <w:r w:rsidRPr="000A553B">
        <w:rPr>
          <w:sz w:val="22"/>
          <w:szCs w:val="22"/>
        </w:rPr>
        <w:t>Itasca, IL 60143</w:t>
      </w:r>
      <w:r w:rsidR="00EA3387">
        <w:rPr>
          <w:sz w:val="22"/>
          <w:szCs w:val="22"/>
        </w:rPr>
        <w:t xml:space="preserve">, </w:t>
      </w:r>
      <w:r w:rsidR="0016773E">
        <w:rPr>
          <w:sz w:val="22"/>
        </w:rPr>
        <w:t>Attn:  Suzanne Kirkwood</w:t>
      </w:r>
    </w:p>
    <w:p w14:paraId="67AD765C" w14:textId="77777777" w:rsidR="00EA3387" w:rsidRDefault="00EA3387" w:rsidP="00EA3387">
      <w:pPr>
        <w:jc w:val="center"/>
      </w:pPr>
    </w:p>
    <w:p w14:paraId="2D95BF5F" w14:textId="77777777" w:rsidR="0000584B" w:rsidRDefault="0000584B" w:rsidP="0000584B">
      <w:pPr>
        <w:pStyle w:val="BodyText"/>
        <w:jc w:val="center"/>
        <w:rPr>
          <w:b/>
          <w:bCs/>
        </w:rPr>
      </w:pPr>
      <w:r>
        <w:rPr>
          <w:b/>
          <w:bCs/>
          <w:u w:val="single"/>
        </w:rPr>
        <w:t>Previous Henry L. Barnett Award Recipients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00584B" w:rsidRPr="00521ABA" w14:paraId="1BF6D5AE" w14:textId="77777777" w:rsidTr="00920A10">
        <w:tc>
          <w:tcPr>
            <w:tcW w:w="5395" w:type="dxa"/>
          </w:tcPr>
          <w:p w14:paraId="64DB75D4" w14:textId="77777777" w:rsidR="0000584B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>2019 – Joseph Flynn, MD, FAAP</w:t>
            </w:r>
          </w:p>
        </w:tc>
        <w:tc>
          <w:tcPr>
            <w:tcW w:w="5395" w:type="dxa"/>
          </w:tcPr>
          <w:p w14:paraId="52442972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2005 </w:t>
            </w:r>
            <w:r>
              <w:rPr>
                <w:bCs/>
              </w:rPr>
              <w:t>-</w:t>
            </w:r>
            <w:r w:rsidRPr="00521ABA">
              <w:rPr>
                <w:bCs/>
              </w:rPr>
              <w:t xml:space="preserve">  Adrian Spitzer, MD</w:t>
            </w:r>
          </w:p>
        </w:tc>
      </w:tr>
      <w:tr w:rsidR="0000584B" w:rsidRPr="00521ABA" w14:paraId="740F1CB8" w14:textId="77777777" w:rsidTr="00920A10">
        <w:tc>
          <w:tcPr>
            <w:tcW w:w="5395" w:type="dxa"/>
          </w:tcPr>
          <w:p w14:paraId="677030D3" w14:textId="77777777" w:rsidR="0000584B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2018 – Sharon </w:t>
            </w:r>
            <w:proofErr w:type="spellStart"/>
            <w:r>
              <w:rPr>
                <w:bCs/>
              </w:rPr>
              <w:t>Andreoli</w:t>
            </w:r>
            <w:proofErr w:type="spellEnd"/>
            <w:r>
              <w:rPr>
                <w:bCs/>
              </w:rPr>
              <w:t>, MD</w:t>
            </w:r>
          </w:p>
        </w:tc>
        <w:tc>
          <w:tcPr>
            <w:tcW w:w="5395" w:type="dxa"/>
          </w:tcPr>
          <w:p w14:paraId="560E0CD5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2004 – Russell Chesney, MD</w:t>
            </w:r>
            <w:r>
              <w:rPr>
                <w:bCs/>
              </w:rPr>
              <w:t>, FAAP</w:t>
            </w:r>
          </w:p>
        </w:tc>
      </w:tr>
      <w:tr w:rsidR="0000584B" w:rsidRPr="00521ABA" w14:paraId="27B79546" w14:textId="77777777" w:rsidTr="00920A10">
        <w:tc>
          <w:tcPr>
            <w:tcW w:w="5395" w:type="dxa"/>
          </w:tcPr>
          <w:p w14:paraId="02CDBAC7" w14:textId="77777777" w:rsidR="0000584B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2017 – Isidro </w:t>
            </w:r>
            <w:proofErr w:type="spellStart"/>
            <w:r>
              <w:rPr>
                <w:bCs/>
              </w:rPr>
              <w:t>Salusky</w:t>
            </w:r>
            <w:proofErr w:type="spellEnd"/>
            <w:r>
              <w:rPr>
                <w:bCs/>
              </w:rPr>
              <w:t>, MD</w:t>
            </w:r>
          </w:p>
        </w:tc>
        <w:tc>
          <w:tcPr>
            <w:tcW w:w="5395" w:type="dxa"/>
          </w:tcPr>
          <w:p w14:paraId="2983288E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2003 </w:t>
            </w:r>
            <w:r>
              <w:rPr>
                <w:bCs/>
              </w:rPr>
              <w:t>-</w:t>
            </w:r>
            <w:r w:rsidRPr="00521ABA">
              <w:rPr>
                <w:bCs/>
              </w:rPr>
              <w:t xml:space="preserve">  Richard N. Fine, MD</w:t>
            </w:r>
            <w:r>
              <w:rPr>
                <w:bCs/>
              </w:rPr>
              <w:t>, FAAP</w:t>
            </w:r>
          </w:p>
        </w:tc>
      </w:tr>
      <w:tr w:rsidR="0000584B" w:rsidRPr="00521ABA" w14:paraId="2138689F" w14:textId="77777777" w:rsidTr="00920A10">
        <w:tc>
          <w:tcPr>
            <w:tcW w:w="5395" w:type="dxa"/>
          </w:tcPr>
          <w:p w14:paraId="48E66610" w14:textId="77777777" w:rsidR="0000584B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2016 – Barbara </w:t>
            </w:r>
            <w:proofErr w:type="spellStart"/>
            <w:r>
              <w:rPr>
                <w:bCs/>
              </w:rPr>
              <w:t>Fivush</w:t>
            </w:r>
            <w:proofErr w:type="spellEnd"/>
            <w:r>
              <w:rPr>
                <w:bCs/>
              </w:rPr>
              <w:t>, MD</w:t>
            </w:r>
          </w:p>
        </w:tc>
        <w:tc>
          <w:tcPr>
            <w:tcW w:w="5395" w:type="dxa"/>
          </w:tcPr>
          <w:p w14:paraId="49E6402A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2002 – Alan B. </w:t>
            </w:r>
            <w:proofErr w:type="spellStart"/>
            <w:r w:rsidRPr="00521ABA">
              <w:rPr>
                <w:bCs/>
              </w:rPr>
              <w:t>Gruskin</w:t>
            </w:r>
            <w:proofErr w:type="spellEnd"/>
            <w:r w:rsidRPr="00521ABA">
              <w:rPr>
                <w:bCs/>
              </w:rPr>
              <w:t>, MD</w:t>
            </w:r>
          </w:p>
        </w:tc>
      </w:tr>
      <w:tr w:rsidR="0000584B" w:rsidRPr="00521ABA" w14:paraId="25E0769F" w14:textId="77777777" w:rsidTr="00920A10">
        <w:tc>
          <w:tcPr>
            <w:tcW w:w="5395" w:type="dxa"/>
          </w:tcPr>
          <w:p w14:paraId="0C125BAE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2015 – Bradley </w:t>
            </w:r>
            <w:proofErr w:type="spellStart"/>
            <w:r>
              <w:rPr>
                <w:bCs/>
              </w:rPr>
              <w:t>Warady</w:t>
            </w:r>
            <w:proofErr w:type="spellEnd"/>
            <w:r>
              <w:rPr>
                <w:bCs/>
              </w:rPr>
              <w:t>, MD, FAAP</w:t>
            </w:r>
          </w:p>
        </w:tc>
        <w:tc>
          <w:tcPr>
            <w:tcW w:w="5395" w:type="dxa"/>
          </w:tcPr>
          <w:p w14:paraId="3753D35D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2000 – Shane Roy III, MD</w:t>
            </w:r>
          </w:p>
        </w:tc>
      </w:tr>
      <w:tr w:rsidR="0000584B" w:rsidRPr="00521ABA" w14:paraId="47457EF2" w14:textId="77777777" w:rsidTr="00920A10">
        <w:tc>
          <w:tcPr>
            <w:tcW w:w="5395" w:type="dxa"/>
          </w:tcPr>
          <w:p w14:paraId="2F337174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>2014 – Denis Geary, MD</w:t>
            </w:r>
          </w:p>
        </w:tc>
        <w:tc>
          <w:tcPr>
            <w:tcW w:w="5395" w:type="dxa"/>
          </w:tcPr>
          <w:p w14:paraId="639431C0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1999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>John Lewy</w:t>
                </w:r>
              </w:smartTag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</w:tc>
      </w:tr>
      <w:tr w:rsidR="0000584B" w:rsidRPr="00521ABA" w14:paraId="33DC143A" w14:textId="77777777" w:rsidTr="00920A10">
        <w:tc>
          <w:tcPr>
            <w:tcW w:w="5395" w:type="dxa"/>
          </w:tcPr>
          <w:p w14:paraId="5023EED8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>2013 – Robert Chevalier, MD, FAAP</w:t>
            </w:r>
          </w:p>
        </w:tc>
        <w:tc>
          <w:tcPr>
            <w:tcW w:w="5395" w:type="dxa"/>
          </w:tcPr>
          <w:p w14:paraId="0D8EA1A6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1998 – Malcom Holiday, MD</w:t>
            </w:r>
          </w:p>
        </w:tc>
      </w:tr>
      <w:tr w:rsidR="0000584B" w:rsidRPr="00521ABA" w14:paraId="132438D6" w14:textId="77777777" w:rsidTr="00920A10">
        <w:tc>
          <w:tcPr>
            <w:tcW w:w="5395" w:type="dxa"/>
          </w:tcPr>
          <w:p w14:paraId="1D00D462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>
              <w:rPr>
                <w:bCs/>
              </w:rPr>
              <w:t>2012 – Sandra Watkins, MD</w:t>
            </w:r>
          </w:p>
        </w:tc>
        <w:tc>
          <w:tcPr>
            <w:tcW w:w="5395" w:type="dxa"/>
          </w:tcPr>
          <w:p w14:paraId="43E068E0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1997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>Jay Bernstein</w:t>
                </w:r>
              </w:smartTag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</w:tc>
      </w:tr>
      <w:tr w:rsidR="0000584B" w:rsidRPr="00521ABA" w14:paraId="3F95B2E2" w14:textId="77777777" w:rsidTr="00920A10">
        <w:tc>
          <w:tcPr>
            <w:tcW w:w="5395" w:type="dxa"/>
          </w:tcPr>
          <w:p w14:paraId="6FA52CF3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2011 – James Chan, MD</w:t>
            </w:r>
            <w:r>
              <w:rPr>
                <w:bCs/>
              </w:rPr>
              <w:t>, FAAP</w:t>
            </w:r>
          </w:p>
        </w:tc>
        <w:tc>
          <w:tcPr>
            <w:tcW w:w="5395" w:type="dxa"/>
          </w:tcPr>
          <w:p w14:paraId="2EBA63DC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1995 – Clarke D. West, MD</w:t>
            </w:r>
          </w:p>
        </w:tc>
      </w:tr>
      <w:tr w:rsidR="0000584B" w:rsidRPr="00521ABA" w14:paraId="7FD0E304" w14:textId="77777777" w:rsidTr="00920A10">
        <w:tc>
          <w:tcPr>
            <w:tcW w:w="5395" w:type="dxa"/>
          </w:tcPr>
          <w:p w14:paraId="6CFC5846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2010 – Aaron Friedman, MD</w:t>
            </w:r>
            <w:r>
              <w:rPr>
                <w:bCs/>
              </w:rPr>
              <w:t>, FAAP</w:t>
            </w:r>
          </w:p>
        </w:tc>
        <w:tc>
          <w:tcPr>
            <w:tcW w:w="5395" w:type="dxa"/>
          </w:tcPr>
          <w:p w14:paraId="27D35CE8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1994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>Wallace McCrory</w:t>
                </w:r>
              </w:smartTag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  <w:p w14:paraId="72A00446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* Note – Name changed to Henry L. Barnett Award</w:t>
            </w:r>
          </w:p>
        </w:tc>
      </w:tr>
      <w:tr w:rsidR="0000584B" w:rsidRPr="00521ABA" w14:paraId="4F704C18" w14:textId="77777777" w:rsidTr="00920A10">
        <w:tc>
          <w:tcPr>
            <w:tcW w:w="5395" w:type="dxa"/>
          </w:tcPr>
          <w:p w14:paraId="0BA21EBF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2009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 xml:space="preserve">Julie </w:t>
                </w:r>
                <w:proofErr w:type="spellStart"/>
                <w:r w:rsidRPr="00521ABA">
                  <w:rPr>
                    <w:bCs/>
                  </w:rPr>
                  <w:t>Ingelfinger</w:t>
                </w:r>
              </w:smartTag>
              <w:proofErr w:type="spellEnd"/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</w:tc>
        <w:tc>
          <w:tcPr>
            <w:tcW w:w="5395" w:type="dxa"/>
          </w:tcPr>
          <w:p w14:paraId="65823676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1993 – Robert L. Vernier, MD</w:t>
            </w:r>
          </w:p>
        </w:tc>
      </w:tr>
      <w:tr w:rsidR="0000584B" w:rsidRPr="00521ABA" w14:paraId="528ABA51" w14:textId="77777777" w:rsidTr="00920A10">
        <w:tc>
          <w:tcPr>
            <w:tcW w:w="5395" w:type="dxa"/>
          </w:tcPr>
          <w:p w14:paraId="22241EE5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2008 – Ellis D. Avner, MD</w:t>
            </w:r>
          </w:p>
        </w:tc>
        <w:tc>
          <w:tcPr>
            <w:tcW w:w="5395" w:type="dxa"/>
          </w:tcPr>
          <w:p w14:paraId="5EC1F96D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1992 – Henry L. Barnett, MD and Ira Griefer, MD</w:t>
            </w:r>
          </w:p>
        </w:tc>
      </w:tr>
      <w:tr w:rsidR="0000584B" w:rsidRPr="00521ABA" w14:paraId="4EB56CFF" w14:textId="77777777" w:rsidTr="00920A10">
        <w:tc>
          <w:tcPr>
            <w:tcW w:w="5395" w:type="dxa"/>
          </w:tcPr>
          <w:p w14:paraId="2F1A8899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2007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>William Harmon</w:t>
                </w:r>
              </w:smartTag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</w:tc>
        <w:tc>
          <w:tcPr>
            <w:tcW w:w="5395" w:type="dxa"/>
          </w:tcPr>
          <w:p w14:paraId="27F720E3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1991 – Jack </w:t>
            </w:r>
            <w:proofErr w:type="spellStart"/>
            <w:r w:rsidRPr="00521ABA">
              <w:rPr>
                <w:bCs/>
              </w:rPr>
              <w:t>Metcoff</w:t>
            </w:r>
            <w:proofErr w:type="spellEnd"/>
          </w:p>
        </w:tc>
      </w:tr>
      <w:tr w:rsidR="0000584B" w:rsidRPr="00521ABA" w14:paraId="72D34448" w14:textId="77777777" w:rsidTr="00920A10">
        <w:tc>
          <w:tcPr>
            <w:tcW w:w="5395" w:type="dxa"/>
          </w:tcPr>
          <w:p w14:paraId="212345E2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 xml:space="preserve">2006 – </w:t>
            </w:r>
            <w:smartTag w:uri="urn:schemas-microsoft-com:office:smarttags" w:element="State">
              <w:smartTag w:uri="urn:schemas-microsoft-com:office:smarttags" w:element="State">
                <w:r w:rsidRPr="00521ABA">
                  <w:rPr>
                    <w:bCs/>
                  </w:rPr>
                  <w:t>Jose Strauss</w:t>
                </w:r>
              </w:smartTag>
              <w:r w:rsidRPr="00521ABA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21ABA">
                  <w:rPr>
                    <w:bCs/>
                  </w:rPr>
                  <w:t>MD</w:t>
                </w:r>
              </w:smartTag>
            </w:smartTag>
          </w:p>
        </w:tc>
        <w:tc>
          <w:tcPr>
            <w:tcW w:w="5395" w:type="dxa"/>
          </w:tcPr>
          <w:p w14:paraId="613CC15F" w14:textId="77777777" w:rsidR="0000584B" w:rsidRPr="00521ABA" w:rsidRDefault="0000584B" w:rsidP="00920A10">
            <w:pPr>
              <w:pStyle w:val="BodyText"/>
              <w:rPr>
                <w:bCs/>
              </w:rPr>
            </w:pPr>
            <w:r w:rsidRPr="00521ABA">
              <w:rPr>
                <w:bCs/>
              </w:rPr>
              <w:t>1990 – Section on Nephrology establishes “The Kidney Award”</w:t>
            </w:r>
          </w:p>
        </w:tc>
      </w:tr>
    </w:tbl>
    <w:p w14:paraId="6405E100" w14:textId="77777777" w:rsidR="006F67CF" w:rsidRDefault="006F67CF" w:rsidP="006F67CF"/>
    <w:p w14:paraId="5095A992" w14:textId="1C98F584" w:rsidR="0016773E" w:rsidRDefault="0016773E">
      <w:pPr>
        <w:pStyle w:val="Title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20</w:t>
      </w:r>
      <w:r w:rsidR="007D3DB9"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 xml:space="preserve"> Nomination Form</w:t>
      </w:r>
    </w:p>
    <w:p w14:paraId="18972773" w14:textId="77777777" w:rsidR="0016773E" w:rsidRDefault="0016773E">
      <w:pPr>
        <w:pStyle w:val="Subtitle"/>
      </w:pPr>
      <w:r>
        <w:t>Henry L. Barnett Award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16773E" w14:paraId="08DEE69B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79D11F58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66AC787D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019747A1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3A39467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580EDA3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4E2970BA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6D65DF2" w14:textId="77777777" w:rsidR="0016773E" w:rsidRDefault="0016773E">
            <w:pPr>
              <w:jc w:val="both"/>
              <w:rPr>
                <w:i/>
              </w:rPr>
            </w:pPr>
          </w:p>
        </w:tc>
      </w:tr>
    </w:tbl>
    <w:p w14:paraId="6A418C0B" w14:textId="77777777" w:rsidR="0016773E" w:rsidRDefault="0016773E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Who is eligible for this award?</w:t>
      </w:r>
    </w:p>
    <w:p w14:paraId="6FA663A0" w14:textId="77777777" w:rsidR="0016773E" w:rsidRPr="002F32B2" w:rsidRDefault="0016773E" w:rsidP="002F32B2">
      <w:pPr>
        <w:tabs>
          <w:tab w:val="left" w:pos="720"/>
        </w:tabs>
        <w:ind w:right="54"/>
        <w:rPr>
          <w:rFonts w:ascii="Arial" w:hAnsi="Arial"/>
        </w:rPr>
      </w:pPr>
      <w:r w:rsidRPr="002F32B2">
        <w:t xml:space="preserve">This is a lifetime achievement award for pediatric nephrologists who have demonstrated </w:t>
      </w:r>
      <w:r w:rsidR="002F32B2" w:rsidRPr="002F32B2">
        <w:rPr>
          <w:u w:val="single"/>
        </w:rPr>
        <w:t>one or more</w:t>
      </w:r>
      <w:r w:rsidR="002F32B2" w:rsidRPr="002F32B2">
        <w:t xml:space="preserve"> of the following:  dedication to teaching nephrology, contributions to advocacy for children, </w:t>
      </w:r>
      <w:r w:rsidR="002F32B2">
        <w:t>d</w:t>
      </w:r>
      <w:r w:rsidR="002F32B2" w:rsidRPr="002F32B2">
        <w:t>istinguished service to the field of pediatric nephrology</w:t>
      </w:r>
      <w:r w:rsidRPr="002F32B2">
        <w:t>.</w:t>
      </w:r>
      <w:r w:rsidRPr="002F32B2">
        <w:rPr>
          <w:rFonts w:ascii="Arial" w:hAnsi="Arial"/>
        </w:rPr>
        <w:t xml:space="preserve">   </w:t>
      </w:r>
      <w:r w:rsidRPr="000A553B">
        <w:rPr>
          <w:b/>
          <w:bCs/>
        </w:rPr>
        <w:t xml:space="preserve">Previous nominations </w:t>
      </w:r>
      <w:r w:rsidR="00604C94" w:rsidRPr="000A553B">
        <w:rPr>
          <w:b/>
          <w:bCs/>
        </w:rPr>
        <w:t>will automatically be considered for 3 consecutive years.</w:t>
      </w:r>
      <w:r w:rsidR="00604C94">
        <w:rPr>
          <w:rFonts w:ascii="Arial" w:hAnsi="Arial"/>
          <w:b/>
          <w:bCs/>
        </w:rPr>
        <w:t xml:space="preserve">  </w:t>
      </w:r>
      <w:r w:rsidRPr="002F32B2">
        <w:rPr>
          <w:rFonts w:ascii="Arial" w:hAnsi="Arial"/>
        </w:rPr>
        <w:t xml:space="preserve">  </w:t>
      </w:r>
      <w:r w:rsidRPr="002F32B2">
        <w:t>Current members of the Section on Nephrology Executive Committee are not eligible.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16773E" w14:paraId="3673F14B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5D48E4F6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5084AAAD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0C948B9D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39BCB491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767F0CD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98D9EF3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91785C7" w14:textId="77777777" w:rsidR="0016773E" w:rsidRDefault="0016773E">
            <w:pPr>
              <w:jc w:val="both"/>
              <w:rPr>
                <w:i/>
              </w:rPr>
            </w:pPr>
          </w:p>
        </w:tc>
      </w:tr>
    </w:tbl>
    <w:p w14:paraId="18FCA776" w14:textId="77777777" w:rsidR="0016773E" w:rsidRDefault="0016773E">
      <w:pPr>
        <w:tabs>
          <w:tab w:val="left" w:pos="720"/>
        </w:tabs>
        <w:ind w:right="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hereby nominate: </w:t>
      </w:r>
    </w:p>
    <w:tbl>
      <w:tblPr>
        <w:tblW w:w="316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36"/>
        <w:gridCol w:w="359"/>
        <w:gridCol w:w="6"/>
        <w:gridCol w:w="138"/>
        <w:gridCol w:w="38"/>
        <w:gridCol w:w="540"/>
        <w:gridCol w:w="1439"/>
        <w:gridCol w:w="547"/>
        <w:gridCol w:w="2378"/>
        <w:gridCol w:w="475"/>
        <w:gridCol w:w="109"/>
        <w:gridCol w:w="90"/>
        <w:gridCol w:w="186"/>
        <w:gridCol w:w="356"/>
        <w:gridCol w:w="65"/>
        <w:gridCol w:w="25"/>
        <w:gridCol w:w="90"/>
        <w:gridCol w:w="724"/>
        <w:gridCol w:w="2146"/>
        <w:gridCol w:w="8"/>
        <w:gridCol w:w="3473"/>
        <w:gridCol w:w="3481"/>
        <w:gridCol w:w="3481"/>
        <w:gridCol w:w="3481"/>
        <w:gridCol w:w="3481"/>
        <w:gridCol w:w="3481"/>
      </w:tblGrid>
      <w:tr w:rsidR="0016773E" w14:paraId="74A0FA43" w14:textId="77777777">
        <w:trPr>
          <w:gridAfter w:val="7"/>
          <w:wAfter w:w="20886" w:type="dxa"/>
          <w:cantSplit/>
        </w:trPr>
        <w:tc>
          <w:tcPr>
            <w:tcW w:w="1434" w:type="dxa"/>
            <w:gridSpan w:val="3"/>
          </w:tcPr>
          <w:p w14:paraId="2FB10BD8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36203D3A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Nominee’s Name:</w:t>
            </w:r>
          </w:p>
        </w:tc>
        <w:tc>
          <w:tcPr>
            <w:tcW w:w="9352" w:type="dxa"/>
            <w:gridSpan w:val="17"/>
            <w:tcBorders>
              <w:bottom w:val="single" w:sz="6" w:space="0" w:color="auto"/>
            </w:tcBorders>
          </w:tcPr>
          <w:p w14:paraId="0DD9B928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3748C504" w14:textId="77777777">
        <w:trPr>
          <w:gridAfter w:val="7"/>
          <w:wAfter w:w="20886" w:type="dxa"/>
          <w:cantSplit/>
        </w:trPr>
        <w:tc>
          <w:tcPr>
            <w:tcW w:w="539" w:type="dxa"/>
          </w:tcPr>
          <w:p w14:paraId="5EADC829" w14:textId="77777777" w:rsidR="0016773E" w:rsidRDefault="0016773E">
            <w:pPr>
              <w:spacing w:line="280" w:lineRule="exact"/>
              <w:rPr>
                <w:sz w:val="16"/>
              </w:rPr>
            </w:pPr>
          </w:p>
          <w:p w14:paraId="4BE4B56B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247" w:type="dxa"/>
            <w:gridSpan w:val="19"/>
            <w:tcBorders>
              <w:bottom w:val="single" w:sz="6" w:space="0" w:color="auto"/>
            </w:tcBorders>
          </w:tcPr>
          <w:p w14:paraId="2010B2A0" w14:textId="77777777" w:rsidR="0016773E" w:rsidRDefault="0016773E">
            <w:pPr>
              <w:rPr>
                <w:b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i/>
                <w:sz w:val="18"/>
              </w:rPr>
              <w:t>(please print or type</w:t>
            </w:r>
            <w:r>
              <w:rPr>
                <w:i/>
                <w:sz w:val="20"/>
              </w:rPr>
              <w:t>)</w:t>
            </w:r>
          </w:p>
          <w:p w14:paraId="3BA1550E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152C0380" w14:textId="77777777">
        <w:trPr>
          <w:gridAfter w:val="7"/>
          <w:wAfter w:w="20886" w:type="dxa"/>
          <w:cantSplit/>
        </w:trPr>
        <w:tc>
          <w:tcPr>
            <w:tcW w:w="1440" w:type="dxa"/>
            <w:gridSpan w:val="4"/>
          </w:tcPr>
          <w:p w14:paraId="7DBAF680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088F9AB8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346" w:type="dxa"/>
            <w:gridSpan w:val="16"/>
            <w:tcBorders>
              <w:bottom w:val="single" w:sz="6" w:space="0" w:color="auto"/>
            </w:tcBorders>
          </w:tcPr>
          <w:p w14:paraId="082F2F08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26750FAD" w14:textId="77777777">
        <w:trPr>
          <w:gridAfter w:val="7"/>
          <w:wAfter w:w="20886" w:type="dxa"/>
          <w:cantSplit/>
        </w:trPr>
        <w:tc>
          <w:tcPr>
            <w:tcW w:w="539" w:type="dxa"/>
          </w:tcPr>
          <w:p w14:paraId="548F04D0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0DB88C10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5981" w:type="dxa"/>
            <w:gridSpan w:val="9"/>
            <w:tcBorders>
              <w:bottom w:val="single" w:sz="6" w:space="0" w:color="auto"/>
            </w:tcBorders>
          </w:tcPr>
          <w:p w14:paraId="7BE1F5E2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26A2E886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52BF1540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5"/>
            <w:tcBorders>
              <w:bottom w:val="single" w:sz="6" w:space="0" w:color="auto"/>
            </w:tcBorders>
          </w:tcPr>
          <w:p w14:paraId="079F176A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839" w:type="dxa"/>
            <w:gridSpan w:val="3"/>
          </w:tcPr>
          <w:p w14:paraId="7D51E4D7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49C51A2B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46" w:type="dxa"/>
            <w:tcBorders>
              <w:bottom w:val="single" w:sz="6" w:space="0" w:color="auto"/>
            </w:tcBorders>
          </w:tcPr>
          <w:p w14:paraId="2989CC73" w14:textId="77777777" w:rsidR="0016773E" w:rsidRDefault="0016773E">
            <w:pPr>
              <w:rPr>
                <w:i/>
                <w:sz w:val="28"/>
              </w:rPr>
            </w:pPr>
          </w:p>
        </w:tc>
      </w:tr>
      <w:tr w:rsidR="0016773E" w14:paraId="6AC6DE99" w14:textId="77777777">
        <w:trPr>
          <w:gridAfter w:val="7"/>
          <w:wAfter w:w="20886" w:type="dxa"/>
          <w:cantSplit/>
        </w:trPr>
        <w:tc>
          <w:tcPr>
            <w:tcW w:w="1075" w:type="dxa"/>
            <w:gridSpan w:val="2"/>
          </w:tcPr>
          <w:p w14:paraId="73E726A7" w14:textId="77777777" w:rsidR="0016773E" w:rsidRDefault="0016773E">
            <w:pPr>
              <w:spacing w:line="280" w:lineRule="exact"/>
              <w:rPr>
                <w:sz w:val="20"/>
              </w:rPr>
            </w:pPr>
          </w:p>
          <w:p w14:paraId="05C2C776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520" w:type="dxa"/>
            <w:gridSpan w:val="6"/>
            <w:tcBorders>
              <w:bottom w:val="single" w:sz="6" w:space="0" w:color="auto"/>
            </w:tcBorders>
          </w:tcPr>
          <w:p w14:paraId="1C6AB7D6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51B4889" w14:textId="77777777" w:rsidR="0016773E" w:rsidRDefault="0016773E">
            <w:pPr>
              <w:spacing w:line="280" w:lineRule="exact"/>
              <w:jc w:val="right"/>
              <w:rPr>
                <w:sz w:val="20"/>
              </w:rPr>
            </w:pPr>
          </w:p>
          <w:p w14:paraId="42BA87A9" w14:textId="77777777" w:rsidR="0016773E" w:rsidRDefault="0016773E">
            <w:pPr>
              <w:spacing w:line="160" w:lineRule="exact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962" w:type="dxa"/>
            <w:gridSpan w:val="3"/>
            <w:tcBorders>
              <w:bottom w:val="single" w:sz="6" w:space="0" w:color="auto"/>
            </w:tcBorders>
          </w:tcPr>
          <w:p w14:paraId="08F33AB6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632" w:type="dxa"/>
            <w:gridSpan w:val="3"/>
          </w:tcPr>
          <w:p w14:paraId="76200333" w14:textId="77777777" w:rsidR="0016773E" w:rsidRDefault="0016773E">
            <w:pPr>
              <w:rPr>
                <w:sz w:val="20"/>
              </w:rPr>
            </w:pPr>
          </w:p>
          <w:p w14:paraId="4527A660" w14:textId="77777777" w:rsidR="0016773E" w:rsidRDefault="0016773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050" w:type="dxa"/>
            <w:gridSpan w:val="5"/>
            <w:tcBorders>
              <w:bottom w:val="single" w:sz="6" w:space="0" w:color="auto"/>
            </w:tcBorders>
          </w:tcPr>
          <w:p w14:paraId="1D268B9E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14B5ABAF" w14:textId="77777777">
        <w:trPr>
          <w:gridAfter w:val="7"/>
          <w:wAfter w:w="20886" w:type="dxa"/>
          <w:cantSplit/>
          <w:trHeight w:val="372"/>
        </w:trPr>
        <w:tc>
          <w:tcPr>
            <w:tcW w:w="10786" w:type="dxa"/>
            <w:gridSpan w:val="20"/>
          </w:tcPr>
          <w:p w14:paraId="6A56883E" w14:textId="77777777" w:rsidR="0016773E" w:rsidRDefault="0016773E">
            <w:pPr>
              <w:jc w:val="both"/>
              <w:rPr>
                <w:b/>
                <w:sz w:val="16"/>
              </w:rPr>
            </w:pPr>
          </w:p>
        </w:tc>
      </w:tr>
      <w:tr w:rsidR="0016773E" w14:paraId="1A42230F" w14:textId="77777777">
        <w:trPr>
          <w:cantSplit/>
          <w:trHeight w:hRule="exact" w:val="207"/>
        </w:trPr>
        <w:tc>
          <w:tcPr>
            <w:tcW w:w="1578" w:type="dxa"/>
            <w:gridSpan w:val="5"/>
            <w:tcBorders>
              <w:top w:val="thinThickThinSmallGap" w:sz="24" w:space="0" w:color="auto"/>
            </w:tcBorders>
          </w:tcPr>
          <w:p w14:paraId="18882767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9208" w:type="dxa"/>
            <w:gridSpan w:val="15"/>
            <w:tcBorders>
              <w:top w:val="thinThickThinSmallGap" w:sz="24" w:space="0" w:color="auto"/>
            </w:tcBorders>
          </w:tcPr>
          <w:p w14:paraId="3A5C5131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3481" w:type="dxa"/>
            <w:gridSpan w:val="2"/>
          </w:tcPr>
          <w:p w14:paraId="02A3962D" w14:textId="77777777" w:rsidR="0016773E" w:rsidRDefault="0016773E">
            <w:pPr>
              <w:jc w:val="both"/>
              <w:rPr>
                <w:i/>
                <w:sz w:val="20"/>
              </w:rPr>
            </w:pPr>
          </w:p>
        </w:tc>
        <w:tc>
          <w:tcPr>
            <w:tcW w:w="3481" w:type="dxa"/>
          </w:tcPr>
          <w:p w14:paraId="58C4F9DD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1" w:type="dxa"/>
          </w:tcPr>
          <w:p w14:paraId="17B27200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1" w:type="dxa"/>
          </w:tcPr>
          <w:p w14:paraId="33CC24E5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1" w:type="dxa"/>
          </w:tcPr>
          <w:p w14:paraId="39B03631" w14:textId="77777777" w:rsidR="0016773E" w:rsidRDefault="0016773E">
            <w:pPr>
              <w:jc w:val="both"/>
              <w:rPr>
                <w:i/>
              </w:rPr>
            </w:pPr>
          </w:p>
        </w:tc>
        <w:tc>
          <w:tcPr>
            <w:tcW w:w="3481" w:type="dxa"/>
          </w:tcPr>
          <w:p w14:paraId="381BB6D7" w14:textId="77777777" w:rsidR="0016773E" w:rsidRDefault="0016773E">
            <w:pPr>
              <w:jc w:val="both"/>
              <w:rPr>
                <w:i/>
              </w:rPr>
            </w:pPr>
          </w:p>
        </w:tc>
      </w:tr>
      <w:tr w:rsidR="0016773E" w14:paraId="64D9FDAB" w14:textId="77777777">
        <w:trPr>
          <w:gridAfter w:val="7"/>
          <w:wAfter w:w="20886" w:type="dxa"/>
          <w:cantSplit/>
          <w:trHeight w:hRule="exact" w:val="456"/>
        </w:trPr>
        <w:tc>
          <w:tcPr>
            <w:tcW w:w="1578" w:type="dxa"/>
            <w:gridSpan w:val="5"/>
          </w:tcPr>
          <w:p w14:paraId="7647BED4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br/>
              <w:t xml:space="preserve">Nominator’s </w:t>
            </w:r>
          </w:p>
          <w:p w14:paraId="3970B6B0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9208" w:type="dxa"/>
            <w:gridSpan w:val="15"/>
            <w:tcBorders>
              <w:bottom w:val="single" w:sz="6" w:space="0" w:color="auto"/>
            </w:tcBorders>
          </w:tcPr>
          <w:p w14:paraId="341D5887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2D3CF94D" w14:textId="77777777">
        <w:trPr>
          <w:gridAfter w:val="7"/>
          <w:wAfter w:w="20886" w:type="dxa"/>
          <w:cantSplit/>
          <w:trHeight w:hRule="exact" w:val="456"/>
        </w:trPr>
        <w:tc>
          <w:tcPr>
            <w:tcW w:w="539" w:type="dxa"/>
          </w:tcPr>
          <w:p w14:paraId="19E58607" w14:textId="77777777" w:rsidR="0016773E" w:rsidRDefault="0016773E">
            <w:pPr>
              <w:spacing w:line="260" w:lineRule="exact"/>
              <w:rPr>
                <w:sz w:val="20"/>
              </w:rPr>
            </w:pPr>
          </w:p>
          <w:p w14:paraId="15538C84" w14:textId="77777777" w:rsidR="0016773E" w:rsidRDefault="0016773E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247" w:type="dxa"/>
            <w:gridSpan w:val="19"/>
            <w:tcBorders>
              <w:bottom w:val="single" w:sz="6" w:space="0" w:color="auto"/>
            </w:tcBorders>
          </w:tcPr>
          <w:p w14:paraId="414272DA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5CF35599" w14:textId="77777777">
        <w:trPr>
          <w:gridAfter w:val="7"/>
          <w:wAfter w:w="20886" w:type="dxa"/>
          <w:cantSplit/>
          <w:trHeight w:hRule="exact" w:val="456"/>
        </w:trPr>
        <w:tc>
          <w:tcPr>
            <w:tcW w:w="1616" w:type="dxa"/>
            <w:gridSpan w:val="6"/>
          </w:tcPr>
          <w:p w14:paraId="1734CC3A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5F8B8AF6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170" w:type="dxa"/>
            <w:gridSpan w:val="14"/>
            <w:tcBorders>
              <w:bottom w:val="single" w:sz="6" w:space="0" w:color="auto"/>
            </w:tcBorders>
          </w:tcPr>
          <w:p w14:paraId="075EDA8F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0015EE63" w14:textId="77777777">
        <w:trPr>
          <w:gridAfter w:val="7"/>
          <w:wAfter w:w="20886" w:type="dxa"/>
          <w:cantSplit/>
          <w:trHeight w:hRule="exact" w:val="456"/>
        </w:trPr>
        <w:tc>
          <w:tcPr>
            <w:tcW w:w="539" w:type="dxa"/>
          </w:tcPr>
          <w:p w14:paraId="7E27AA84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52C58549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5981" w:type="dxa"/>
            <w:gridSpan w:val="9"/>
            <w:tcBorders>
              <w:bottom w:val="single" w:sz="6" w:space="0" w:color="auto"/>
            </w:tcBorders>
          </w:tcPr>
          <w:p w14:paraId="7E971AC1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05EA6B22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0D1CA523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5"/>
            <w:tcBorders>
              <w:bottom w:val="single" w:sz="6" w:space="0" w:color="auto"/>
            </w:tcBorders>
          </w:tcPr>
          <w:p w14:paraId="1EF7E285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839" w:type="dxa"/>
            <w:gridSpan w:val="3"/>
          </w:tcPr>
          <w:p w14:paraId="26B9C1A3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3F466255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46" w:type="dxa"/>
            <w:tcBorders>
              <w:bottom w:val="single" w:sz="6" w:space="0" w:color="auto"/>
            </w:tcBorders>
          </w:tcPr>
          <w:p w14:paraId="0A3721BC" w14:textId="77777777" w:rsidR="0016773E" w:rsidRDefault="0016773E">
            <w:pPr>
              <w:rPr>
                <w:sz w:val="20"/>
              </w:rPr>
            </w:pPr>
          </w:p>
        </w:tc>
      </w:tr>
      <w:tr w:rsidR="0016773E" w14:paraId="1F026E93" w14:textId="77777777">
        <w:trPr>
          <w:gridAfter w:val="6"/>
          <w:wAfter w:w="20878" w:type="dxa"/>
          <w:cantSplit/>
          <w:trHeight w:hRule="exact" w:val="456"/>
        </w:trPr>
        <w:tc>
          <w:tcPr>
            <w:tcW w:w="1075" w:type="dxa"/>
            <w:gridSpan w:val="2"/>
          </w:tcPr>
          <w:p w14:paraId="6466EB35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5B5A46A4" w14:textId="77777777" w:rsidR="0016773E" w:rsidRDefault="0016773E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520" w:type="dxa"/>
            <w:gridSpan w:val="6"/>
            <w:tcBorders>
              <w:bottom w:val="single" w:sz="6" w:space="0" w:color="auto"/>
            </w:tcBorders>
          </w:tcPr>
          <w:p w14:paraId="3154E8C1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21721286" w14:textId="77777777" w:rsidR="0016773E" w:rsidRDefault="0016773E">
            <w:pPr>
              <w:spacing w:line="200" w:lineRule="exact"/>
              <w:rPr>
                <w:sz w:val="20"/>
              </w:rPr>
            </w:pPr>
          </w:p>
          <w:p w14:paraId="303D736D" w14:textId="77777777" w:rsidR="0016773E" w:rsidRDefault="0016773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052" w:type="dxa"/>
            <w:gridSpan w:val="4"/>
            <w:tcBorders>
              <w:bottom w:val="single" w:sz="6" w:space="0" w:color="auto"/>
            </w:tcBorders>
          </w:tcPr>
          <w:p w14:paraId="4081E0C8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722" w:type="dxa"/>
            <w:gridSpan w:val="5"/>
          </w:tcPr>
          <w:p w14:paraId="51993DBC" w14:textId="77777777" w:rsidR="0016773E" w:rsidRDefault="0016773E">
            <w:pPr>
              <w:spacing w:line="200" w:lineRule="exact"/>
              <w:rPr>
                <w:sz w:val="20"/>
              </w:rPr>
            </w:pPr>
          </w:p>
          <w:p w14:paraId="7EE23068" w14:textId="77777777" w:rsidR="0016773E" w:rsidRDefault="0016773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14:paraId="46680130" w14:textId="77777777" w:rsidR="0016773E" w:rsidRDefault="0016773E">
            <w:pPr>
              <w:rPr>
                <w:b/>
                <w:sz w:val="20"/>
              </w:rPr>
            </w:pPr>
          </w:p>
        </w:tc>
      </w:tr>
      <w:tr w:rsidR="0016773E" w14:paraId="46F561D8" w14:textId="77777777">
        <w:trPr>
          <w:gridAfter w:val="7"/>
          <w:wAfter w:w="20886" w:type="dxa"/>
          <w:cantSplit/>
          <w:trHeight w:hRule="exact" w:val="456"/>
        </w:trPr>
        <w:tc>
          <w:tcPr>
            <w:tcW w:w="2156" w:type="dxa"/>
            <w:gridSpan w:val="7"/>
          </w:tcPr>
          <w:p w14:paraId="3B58B29A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54C8966F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Nominator’s Signature:</w:t>
            </w:r>
          </w:p>
        </w:tc>
        <w:tc>
          <w:tcPr>
            <w:tcW w:w="5224" w:type="dxa"/>
            <w:gridSpan w:val="7"/>
            <w:tcBorders>
              <w:bottom w:val="single" w:sz="6" w:space="0" w:color="auto"/>
            </w:tcBorders>
          </w:tcPr>
          <w:p w14:paraId="2E400E05" w14:textId="77777777" w:rsidR="0016773E" w:rsidRDefault="0016773E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14:paraId="6A66ACA8" w14:textId="77777777" w:rsidR="0016773E" w:rsidRDefault="0016773E">
            <w:pPr>
              <w:spacing w:line="240" w:lineRule="exact"/>
              <w:rPr>
                <w:sz w:val="20"/>
              </w:rPr>
            </w:pPr>
          </w:p>
          <w:p w14:paraId="7FFA96DF" w14:textId="77777777" w:rsidR="0016773E" w:rsidRDefault="001677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960" w:type="dxa"/>
            <w:gridSpan w:val="3"/>
            <w:tcBorders>
              <w:bottom w:val="single" w:sz="6" w:space="0" w:color="auto"/>
            </w:tcBorders>
          </w:tcPr>
          <w:p w14:paraId="4B7AF427" w14:textId="77777777" w:rsidR="0016773E" w:rsidRDefault="0016773E">
            <w:pPr>
              <w:rPr>
                <w:sz w:val="20"/>
              </w:rPr>
            </w:pPr>
          </w:p>
        </w:tc>
      </w:tr>
    </w:tbl>
    <w:p w14:paraId="4EB787F7" w14:textId="77777777" w:rsidR="0016773E" w:rsidRDefault="0016773E">
      <w:pPr>
        <w:jc w:val="both"/>
        <w:rPr>
          <w:i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6773E" w14:paraId="0BCF4A3C" w14:textId="77777777"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1E7E92B" w14:textId="77777777" w:rsidR="0016773E" w:rsidRDefault="0016773E">
            <w:pPr>
              <w:tabs>
                <w:tab w:val="left" w:pos="360"/>
              </w:tabs>
              <w:ind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68E8F9AD" w14:textId="77777777" w:rsidR="0016773E" w:rsidRDefault="0016773E" w:rsidP="00A2731F">
            <w:pPr>
              <w:pStyle w:val="Heading3"/>
              <w:jc w:val="left"/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</w:rPr>
              <w:t>The following items should be included with this form:</w:t>
            </w:r>
            <w:r>
              <w:rPr>
                <w:b/>
              </w:rPr>
              <w:tab/>
            </w:r>
          </w:p>
          <w:p w14:paraId="4CBF40C8" w14:textId="77777777" w:rsidR="0016773E" w:rsidRDefault="0016773E">
            <w:pPr>
              <w:numPr>
                <w:ilvl w:val="0"/>
                <w:numId w:val="7"/>
              </w:numPr>
              <w:tabs>
                <w:tab w:val="left" w:pos="720"/>
              </w:tabs>
              <w:ind w:right="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Nomination Letter</w:t>
            </w:r>
            <w:r>
              <w:rPr>
                <w:rFonts w:ascii="Arial" w:hAnsi="Arial"/>
                <w:sz w:val="22"/>
              </w:rPr>
              <w:t>:</w:t>
            </w:r>
          </w:p>
          <w:p w14:paraId="602517D0" w14:textId="77777777" w:rsidR="0016773E" w:rsidRPr="00D3185B" w:rsidRDefault="0016773E">
            <w:pPr>
              <w:numPr>
                <w:ilvl w:val="0"/>
                <w:numId w:val="8"/>
              </w:numPr>
              <w:tabs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 w:rsidRPr="00D3185B">
              <w:rPr>
                <w:rFonts w:ascii="Arial" w:hAnsi="Arial"/>
                <w:sz w:val="20"/>
              </w:rPr>
              <w:t>Two page maximum</w:t>
            </w:r>
          </w:p>
          <w:p w14:paraId="0A0F7AA1" w14:textId="77777777" w:rsidR="0016773E" w:rsidRPr="00D3185B" w:rsidRDefault="0016773E" w:rsidP="00D3185B">
            <w:pPr>
              <w:numPr>
                <w:ilvl w:val="0"/>
                <w:numId w:val="8"/>
              </w:numPr>
              <w:tabs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 w:rsidRPr="00D3185B">
              <w:rPr>
                <w:rFonts w:ascii="Arial" w:hAnsi="Arial"/>
                <w:sz w:val="20"/>
              </w:rPr>
              <w:t>Emphasize the specific talents of the nominee that merit consideration by the selection committee</w:t>
            </w:r>
            <w:r w:rsidR="00066D60">
              <w:rPr>
                <w:rFonts w:ascii="Arial" w:hAnsi="Arial"/>
                <w:sz w:val="20"/>
              </w:rPr>
              <w:t>.</w:t>
            </w:r>
          </w:p>
          <w:p w14:paraId="0EE033D4" w14:textId="77777777" w:rsidR="0016773E" w:rsidRDefault="0016773E" w:rsidP="007B179C">
            <w:pPr>
              <w:numPr>
                <w:ilvl w:val="0"/>
                <w:numId w:val="9"/>
              </w:numPr>
              <w:ind w:left="1800"/>
              <w:rPr>
                <w:rFonts w:ascii="Arial" w:hAnsi="Arial"/>
                <w:b/>
                <w:i/>
                <w:spacing w:val="-5"/>
                <w:sz w:val="20"/>
              </w:rPr>
            </w:pPr>
            <w:r w:rsidRPr="00D3185B">
              <w:rPr>
                <w:rFonts w:ascii="Arial" w:hAnsi="Arial"/>
                <w:sz w:val="20"/>
              </w:rPr>
              <w:t>List and describe some of the nominee’s pertinent activities in the area</w:t>
            </w:r>
            <w:r>
              <w:rPr>
                <w:rFonts w:ascii="Arial" w:hAnsi="Arial"/>
                <w:sz w:val="20"/>
              </w:rPr>
              <w:t>s</w:t>
            </w:r>
            <w:r w:rsidRPr="00D3185B">
              <w:rPr>
                <w:rFonts w:ascii="Arial" w:hAnsi="Arial"/>
                <w:sz w:val="20"/>
              </w:rPr>
              <w:t xml:space="preserve"> of </w:t>
            </w:r>
            <w:r>
              <w:rPr>
                <w:rFonts w:ascii="Arial" w:hAnsi="Arial"/>
                <w:sz w:val="20"/>
              </w:rPr>
              <w:t xml:space="preserve">patient care, </w:t>
            </w:r>
            <w:r w:rsidRPr="00D3185B">
              <w:rPr>
                <w:rFonts w:ascii="Arial" w:hAnsi="Arial"/>
                <w:sz w:val="20"/>
              </w:rPr>
              <w:t>education, research, and/or advocacy as it relates to pediatric nephrology.  Describe the impact of this work, providing as much detail as necessary to give the selection committee a clear picture of the nominee’s qualifications</w:t>
            </w:r>
            <w:r>
              <w:rPr>
                <w:rFonts w:ascii="Arial" w:hAnsi="Arial"/>
                <w:sz w:val="20"/>
              </w:rPr>
              <w:t>.</w:t>
            </w:r>
          </w:p>
          <w:p w14:paraId="4A310E7A" w14:textId="77777777" w:rsidR="0016773E" w:rsidRPr="00D3185B" w:rsidRDefault="0016773E">
            <w:pPr>
              <w:numPr>
                <w:ilvl w:val="0"/>
                <w:numId w:val="9"/>
              </w:numPr>
              <w:ind w:left="1800"/>
              <w:rPr>
                <w:rFonts w:ascii="Arial" w:hAnsi="Arial"/>
                <w:sz w:val="20"/>
              </w:rPr>
            </w:pPr>
            <w:r w:rsidRPr="00D3185B">
              <w:rPr>
                <w:rFonts w:ascii="Arial" w:hAnsi="Arial"/>
                <w:sz w:val="20"/>
              </w:rPr>
              <w:t>Please indicate whether the candidate has previously received awards or special recognition for his or her work</w:t>
            </w:r>
            <w:r>
              <w:rPr>
                <w:rFonts w:ascii="Arial" w:hAnsi="Arial"/>
                <w:sz w:val="20"/>
              </w:rPr>
              <w:t>.</w:t>
            </w:r>
          </w:p>
          <w:p w14:paraId="57053C94" w14:textId="77777777" w:rsidR="0016773E" w:rsidRPr="00D3185B" w:rsidRDefault="0016773E">
            <w:pPr>
              <w:numPr>
                <w:ilvl w:val="0"/>
                <w:numId w:val="7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</w:rPr>
            </w:pPr>
            <w:r w:rsidRPr="00D3185B">
              <w:rPr>
                <w:rFonts w:ascii="Arial" w:hAnsi="Arial"/>
                <w:b/>
                <w:sz w:val="22"/>
              </w:rPr>
              <w:t>Nominee’s Curriculum Vitae</w:t>
            </w:r>
          </w:p>
          <w:p w14:paraId="7EF1E6EF" w14:textId="77777777" w:rsidR="0016773E" w:rsidRDefault="0016773E">
            <w:pPr>
              <w:tabs>
                <w:tab w:val="left" w:pos="720"/>
              </w:tabs>
              <w:ind w:right="29"/>
              <w:rPr>
                <w:rFonts w:ascii="Arial" w:hAnsi="Arial"/>
                <w:sz w:val="16"/>
              </w:rPr>
            </w:pPr>
          </w:p>
          <w:p w14:paraId="2135519E" w14:textId="2BE227CC" w:rsidR="0016773E" w:rsidRDefault="001677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</w:t>
            </w:r>
            <w:r>
              <w:rPr>
                <w:rFonts w:ascii="Arial" w:hAnsi="Arial"/>
                <w:b/>
                <w:sz w:val="28"/>
              </w:rPr>
              <w:t xml:space="preserve">Please send materials by </w:t>
            </w:r>
            <w:r w:rsidR="00F86419" w:rsidRPr="00D04CF5">
              <w:rPr>
                <w:rFonts w:ascii="Arial" w:hAnsi="Arial"/>
                <w:b/>
                <w:sz w:val="28"/>
              </w:rPr>
              <w:t xml:space="preserve">September </w:t>
            </w:r>
            <w:r w:rsidR="007D3DB9">
              <w:rPr>
                <w:rFonts w:ascii="Arial" w:hAnsi="Arial"/>
                <w:b/>
                <w:sz w:val="28"/>
              </w:rPr>
              <w:t>30</w:t>
            </w:r>
            <w:r w:rsidRPr="00D04CF5">
              <w:rPr>
                <w:rFonts w:ascii="Arial" w:hAnsi="Arial"/>
                <w:b/>
                <w:sz w:val="28"/>
              </w:rPr>
              <w:t>, 201</w:t>
            </w:r>
            <w:r w:rsidR="007D3DB9">
              <w:rPr>
                <w:rFonts w:ascii="Arial" w:hAnsi="Arial"/>
                <w:b/>
                <w:sz w:val="28"/>
              </w:rPr>
              <w:t>9</w:t>
            </w:r>
            <w:r w:rsidRPr="00D04CF5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to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14:paraId="1588D85E" w14:textId="77777777" w:rsidR="0016773E" w:rsidRDefault="0016773E">
            <w:pPr>
              <w:rPr>
                <w:rFonts w:ascii="Arial" w:hAnsi="Arial"/>
                <w:b/>
                <w:sz w:val="16"/>
              </w:rPr>
            </w:pPr>
          </w:p>
          <w:p w14:paraId="3DE149F1" w14:textId="77777777" w:rsidR="0016773E" w:rsidRDefault="001677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American Academy of Pediatrics, Section on Nephrology,</w:t>
            </w:r>
            <w:r w:rsidR="000A553B">
              <w:rPr>
                <w:rFonts w:ascii="Arial" w:hAnsi="Arial"/>
                <w:sz w:val="22"/>
              </w:rPr>
              <w:t xml:space="preserve"> </w:t>
            </w:r>
          </w:p>
          <w:p w14:paraId="06DE7A72" w14:textId="77777777" w:rsidR="0016773E" w:rsidRDefault="000A553B">
            <w:pPr>
              <w:jc w:val="center"/>
              <w:rPr>
                <w:rFonts w:ascii="Arial" w:hAnsi="Arial"/>
              </w:rPr>
            </w:pPr>
            <w:r w:rsidRPr="000A553B">
              <w:rPr>
                <w:rFonts w:ascii="Arial" w:hAnsi="Arial" w:cs="Arial"/>
                <w:sz w:val="22"/>
                <w:szCs w:val="22"/>
              </w:rPr>
              <w:t>345 Park Blvd, Itasca, IL 60143</w:t>
            </w:r>
            <w:r>
              <w:rPr>
                <w:sz w:val="22"/>
                <w:szCs w:val="22"/>
              </w:rPr>
              <w:t xml:space="preserve">, </w:t>
            </w:r>
            <w:r w:rsidR="0016773E">
              <w:rPr>
                <w:rFonts w:ascii="Arial" w:hAnsi="Arial"/>
                <w:sz w:val="22"/>
              </w:rPr>
              <w:t>Attn:  Suzanne Kirkwood</w:t>
            </w:r>
          </w:p>
          <w:p w14:paraId="200C1D5D" w14:textId="77777777" w:rsidR="0016773E" w:rsidRDefault="0016773E" w:rsidP="006F67CF">
            <w:pPr>
              <w:jc w:val="center"/>
              <w:rPr>
                <w:rFonts w:ascii="Arial" w:hAnsi="Arial"/>
                <w:i/>
                <w:sz w:val="28"/>
              </w:rPr>
            </w:pPr>
            <w:r w:rsidRPr="007D3DB9">
              <w:rPr>
                <w:rFonts w:ascii="Arial" w:hAnsi="Arial"/>
                <w:b/>
                <w:bCs/>
                <w:sz w:val="22"/>
              </w:rPr>
              <w:t>Phone: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A553B">
              <w:rPr>
                <w:rFonts w:ascii="Arial" w:hAnsi="Arial"/>
                <w:sz w:val="22"/>
              </w:rPr>
              <w:t>630/626-6648</w:t>
            </w:r>
            <w:r>
              <w:rPr>
                <w:rFonts w:ascii="Arial" w:hAnsi="Arial"/>
                <w:sz w:val="22"/>
              </w:rPr>
              <w:t xml:space="preserve">   </w:t>
            </w:r>
            <w:r w:rsidRPr="007D3DB9">
              <w:rPr>
                <w:rFonts w:ascii="Arial" w:hAnsi="Arial"/>
                <w:b/>
                <w:bCs/>
                <w:sz w:val="22"/>
              </w:rPr>
              <w:t>Fax:</w:t>
            </w:r>
            <w:r w:rsidRPr="00D04CF5">
              <w:rPr>
                <w:rFonts w:ascii="Arial" w:hAnsi="Arial"/>
                <w:sz w:val="22"/>
              </w:rPr>
              <w:t xml:space="preserve"> 847/434-8000   </w:t>
            </w:r>
            <w:r w:rsidRPr="007D3DB9">
              <w:rPr>
                <w:rFonts w:ascii="Arial" w:hAnsi="Arial"/>
                <w:b/>
                <w:bCs/>
                <w:sz w:val="22"/>
              </w:rPr>
              <w:t>e-mail</w:t>
            </w:r>
            <w:r>
              <w:rPr>
                <w:rFonts w:ascii="Arial" w:hAnsi="Arial"/>
                <w:sz w:val="22"/>
              </w:rPr>
              <w:t>: skirkwood@aap.org</w:t>
            </w:r>
          </w:p>
        </w:tc>
      </w:tr>
    </w:tbl>
    <w:p w14:paraId="2A5FA448" w14:textId="77777777" w:rsidR="0016773E" w:rsidRDefault="0016773E" w:rsidP="000A553B">
      <w:pPr>
        <w:rPr>
          <w:sz w:val="20"/>
          <w:szCs w:val="20"/>
        </w:rPr>
      </w:pPr>
    </w:p>
    <w:sectPr w:rsidR="0016773E" w:rsidSect="00CB25CA">
      <w:footerReference w:type="default" r:id="rId10"/>
      <w:pgSz w:w="12240" w:h="15840"/>
      <w:pgMar w:top="3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CF1C" w14:textId="77777777" w:rsidR="001370D3" w:rsidRDefault="001370D3">
      <w:r>
        <w:separator/>
      </w:r>
    </w:p>
  </w:endnote>
  <w:endnote w:type="continuationSeparator" w:id="0">
    <w:p w14:paraId="3C465440" w14:textId="77777777" w:rsidR="001370D3" w:rsidRDefault="001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CC83" w14:textId="77777777" w:rsidR="0016773E" w:rsidRDefault="00535DED">
    <w:pPr>
      <w:pStyle w:val="Footer"/>
      <w:jc w:val="center"/>
    </w:pPr>
    <w:r>
      <w:rPr>
        <w:noProof/>
      </w:rPr>
      <w:drawing>
        <wp:inline distT="0" distB="0" distL="0" distR="0" wp14:anchorId="0AE5EF3B" wp14:editId="32174EED">
          <wp:extent cx="213360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4563" w14:textId="77777777" w:rsidR="001370D3" w:rsidRDefault="001370D3">
      <w:r>
        <w:separator/>
      </w:r>
    </w:p>
  </w:footnote>
  <w:footnote w:type="continuationSeparator" w:id="0">
    <w:p w14:paraId="3C8A2E11" w14:textId="77777777" w:rsidR="001370D3" w:rsidRDefault="0013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868C9"/>
    <w:multiLevelType w:val="hybridMultilevel"/>
    <w:tmpl w:val="6B7A9DA4"/>
    <w:lvl w:ilvl="0" w:tplc="2A94EC1C">
      <w:start w:val="200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41E8F"/>
    <w:multiLevelType w:val="hybridMultilevel"/>
    <w:tmpl w:val="112C4C80"/>
    <w:lvl w:ilvl="0" w:tplc="AD4A73B2">
      <w:start w:val="200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2B55AB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4" w15:restartNumberingAfterBreak="0">
    <w:nsid w:val="3FB54F24"/>
    <w:multiLevelType w:val="hybridMultilevel"/>
    <w:tmpl w:val="F62EF0E8"/>
    <w:lvl w:ilvl="0" w:tplc="A9443050">
      <w:start w:val="200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C4305"/>
    <w:multiLevelType w:val="hybridMultilevel"/>
    <w:tmpl w:val="909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1A1"/>
    <w:multiLevelType w:val="hybridMultilevel"/>
    <w:tmpl w:val="87F083BE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178"/>
    <w:multiLevelType w:val="hybridMultilevel"/>
    <w:tmpl w:val="21C4A3E6"/>
    <w:lvl w:ilvl="0" w:tplc="6060BAD6">
      <w:start w:val="200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CE483B"/>
    <w:multiLevelType w:val="hybridMultilevel"/>
    <w:tmpl w:val="6CD46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90"/>
    <w:rsid w:val="00001F7B"/>
    <w:rsid w:val="0000584B"/>
    <w:rsid w:val="00033A4A"/>
    <w:rsid w:val="00056AD9"/>
    <w:rsid w:val="000620CE"/>
    <w:rsid w:val="00066D60"/>
    <w:rsid w:val="00070888"/>
    <w:rsid w:val="00095DDD"/>
    <w:rsid w:val="000A553B"/>
    <w:rsid w:val="00114F6B"/>
    <w:rsid w:val="001370D3"/>
    <w:rsid w:val="0016773E"/>
    <w:rsid w:val="001A2C09"/>
    <w:rsid w:val="001B0EE6"/>
    <w:rsid w:val="00261DBD"/>
    <w:rsid w:val="00274C41"/>
    <w:rsid w:val="0027700E"/>
    <w:rsid w:val="00287799"/>
    <w:rsid w:val="002A211F"/>
    <w:rsid w:val="002C30EF"/>
    <w:rsid w:val="002F32B2"/>
    <w:rsid w:val="002F7225"/>
    <w:rsid w:val="0033313D"/>
    <w:rsid w:val="0038304F"/>
    <w:rsid w:val="00383565"/>
    <w:rsid w:val="003C2458"/>
    <w:rsid w:val="00475D06"/>
    <w:rsid w:val="0048109D"/>
    <w:rsid w:val="004859EC"/>
    <w:rsid w:val="004A0409"/>
    <w:rsid w:val="004B7C6E"/>
    <w:rsid w:val="004F3257"/>
    <w:rsid w:val="00503460"/>
    <w:rsid w:val="00521ABA"/>
    <w:rsid w:val="00534C21"/>
    <w:rsid w:val="00535DED"/>
    <w:rsid w:val="00576AFC"/>
    <w:rsid w:val="0058441F"/>
    <w:rsid w:val="005959F4"/>
    <w:rsid w:val="00604C94"/>
    <w:rsid w:val="00617B02"/>
    <w:rsid w:val="00624FE9"/>
    <w:rsid w:val="00627D92"/>
    <w:rsid w:val="006365AE"/>
    <w:rsid w:val="00643CF9"/>
    <w:rsid w:val="00696E78"/>
    <w:rsid w:val="006F67CF"/>
    <w:rsid w:val="007179B7"/>
    <w:rsid w:val="007441E0"/>
    <w:rsid w:val="00785737"/>
    <w:rsid w:val="00793312"/>
    <w:rsid w:val="007A05DD"/>
    <w:rsid w:val="007A1C2F"/>
    <w:rsid w:val="007B179C"/>
    <w:rsid w:val="007D3DB9"/>
    <w:rsid w:val="00802745"/>
    <w:rsid w:val="00806B98"/>
    <w:rsid w:val="008721B3"/>
    <w:rsid w:val="008E14EE"/>
    <w:rsid w:val="008E16D5"/>
    <w:rsid w:val="00900403"/>
    <w:rsid w:val="00977B0E"/>
    <w:rsid w:val="00996DF4"/>
    <w:rsid w:val="009B6213"/>
    <w:rsid w:val="009D0C74"/>
    <w:rsid w:val="009D37F2"/>
    <w:rsid w:val="00A20B66"/>
    <w:rsid w:val="00A2731F"/>
    <w:rsid w:val="00A83447"/>
    <w:rsid w:val="00AA7A6E"/>
    <w:rsid w:val="00AB70A1"/>
    <w:rsid w:val="00AE39AD"/>
    <w:rsid w:val="00B14F1C"/>
    <w:rsid w:val="00B53808"/>
    <w:rsid w:val="00B73B77"/>
    <w:rsid w:val="00BC0F4C"/>
    <w:rsid w:val="00BC3707"/>
    <w:rsid w:val="00C07A97"/>
    <w:rsid w:val="00C16AAE"/>
    <w:rsid w:val="00C324CE"/>
    <w:rsid w:val="00C33426"/>
    <w:rsid w:val="00C57A00"/>
    <w:rsid w:val="00C61783"/>
    <w:rsid w:val="00C92814"/>
    <w:rsid w:val="00CB25CA"/>
    <w:rsid w:val="00CB4088"/>
    <w:rsid w:val="00CC055A"/>
    <w:rsid w:val="00CE4543"/>
    <w:rsid w:val="00D04CF5"/>
    <w:rsid w:val="00D3185B"/>
    <w:rsid w:val="00D47556"/>
    <w:rsid w:val="00DB4590"/>
    <w:rsid w:val="00DE3A1A"/>
    <w:rsid w:val="00DF7AAC"/>
    <w:rsid w:val="00E00A80"/>
    <w:rsid w:val="00E41BDE"/>
    <w:rsid w:val="00E8504E"/>
    <w:rsid w:val="00EA13E8"/>
    <w:rsid w:val="00EA3387"/>
    <w:rsid w:val="00EA6A5C"/>
    <w:rsid w:val="00F86419"/>
    <w:rsid w:val="00F978FC"/>
    <w:rsid w:val="00FB7557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15693AE"/>
  <w15:docId w15:val="{969252FB-6472-49E0-B7D2-5EEE566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5C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5CA"/>
    <w:pPr>
      <w:keepNext/>
      <w:ind w:left="3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5CA"/>
    <w:pPr>
      <w:keepNext/>
      <w:jc w:val="center"/>
      <w:outlineLvl w:val="2"/>
    </w:pPr>
    <w:rPr>
      <w:rFonts w:ascii="Arial" w:hAnsi="Arial"/>
      <w:i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4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4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485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B25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B25CA"/>
    <w:pPr>
      <w:ind w:left="360"/>
    </w:pPr>
    <w:rPr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6485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B25C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CB25CA"/>
    <w:pPr>
      <w:spacing w:line="400" w:lineRule="exact"/>
      <w:jc w:val="center"/>
    </w:pPr>
    <w:rPr>
      <w:b/>
      <w:i/>
      <w:spacing w:val="-5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648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B25CA"/>
    <w:pPr>
      <w:tabs>
        <w:tab w:val="left" w:pos="720"/>
      </w:tabs>
      <w:ind w:right="54"/>
      <w:jc w:val="center"/>
    </w:pPr>
    <w:rPr>
      <w:spacing w:val="-5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485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4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48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25C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648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34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5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48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66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3387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.org/en-us/about-the-aap/Pediatric-History-Center/Documents/Barnet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p.org/en-us/about-the-aap/Pediatric-History-Center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irkwood@aa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AAP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llaskosz</dc:creator>
  <cp:lastModifiedBy>Rutt, Linda</cp:lastModifiedBy>
  <cp:revision>2</cp:revision>
  <cp:lastPrinted>2008-07-11T14:18:00Z</cp:lastPrinted>
  <dcterms:created xsi:type="dcterms:W3CDTF">2019-07-08T14:25:00Z</dcterms:created>
  <dcterms:modified xsi:type="dcterms:W3CDTF">2019-07-08T14:25:00Z</dcterms:modified>
</cp:coreProperties>
</file>