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FA0FD" w14:textId="77777777" w:rsidR="003D7E5A" w:rsidRDefault="00AC4355" w:rsidP="00AC4355">
      <w:pPr>
        <w:jc w:val="center"/>
      </w:pPr>
      <w:r>
        <w:rPr>
          <w:noProof/>
        </w:rPr>
        <w:drawing>
          <wp:inline distT="0" distB="0" distL="0" distR="0" wp14:anchorId="5B2074AA" wp14:editId="07289187">
            <wp:extent cx="3473450" cy="926465"/>
            <wp:effectExtent l="114300" t="76200" r="107950" b="83185"/>
            <wp:docPr id="2" name="Picture 2" descr="https://www.aap.org/en-us/ImagesLogos/AAP-PayerAdvocacy.jpg"/>
            <wp:cNvGraphicFramePr/>
            <a:graphic xmlns:a="http://schemas.openxmlformats.org/drawingml/2006/main">
              <a:graphicData uri="http://schemas.openxmlformats.org/drawingml/2006/picture">
                <pic:pic xmlns:pic="http://schemas.openxmlformats.org/drawingml/2006/picture">
                  <pic:nvPicPr>
                    <pic:cNvPr id="2" name="Picture 2" descr="https://www.aap.org/en-us/ImagesLogos/AAP-PayerAdvocacy.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3450" cy="926465"/>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2125F247" w14:textId="542A6413" w:rsidR="00B90CB9" w:rsidRDefault="00B90CB9" w:rsidP="00AC4355">
      <w:pPr>
        <w:jc w:val="center"/>
        <w:rPr>
          <w:b/>
          <w:i/>
          <w:color w:val="0070C0"/>
          <w:sz w:val="44"/>
          <w:szCs w:val="44"/>
        </w:rPr>
      </w:pPr>
      <w:r>
        <w:rPr>
          <w:b/>
          <w:i/>
          <w:color w:val="0070C0"/>
          <w:sz w:val="44"/>
          <w:szCs w:val="44"/>
        </w:rPr>
        <w:t>Issue Guidance</w:t>
      </w:r>
    </w:p>
    <w:p w14:paraId="5A1157C6" w14:textId="19001592" w:rsidR="00DE3E70" w:rsidRPr="00AC4355" w:rsidRDefault="00894A75" w:rsidP="00AC4355">
      <w:pPr>
        <w:jc w:val="center"/>
        <w:rPr>
          <w:b/>
          <w:i/>
          <w:color w:val="0070C0"/>
          <w:sz w:val="44"/>
          <w:szCs w:val="44"/>
        </w:rPr>
      </w:pPr>
      <w:r>
        <w:rPr>
          <w:b/>
          <w:i/>
          <w:color w:val="0070C0"/>
          <w:sz w:val="44"/>
          <w:szCs w:val="44"/>
        </w:rPr>
        <w:t>Instrument Based Vision Screening</w:t>
      </w:r>
    </w:p>
    <w:p w14:paraId="7104AAFC" w14:textId="73E8E8EB" w:rsidR="00AC4355" w:rsidRDefault="00522114" w:rsidP="00AC4355">
      <w:pPr>
        <w:jc w:val="center"/>
      </w:pPr>
      <w:r>
        <w:t>0</w:t>
      </w:r>
      <w:r w:rsidR="00626061">
        <w:t>8</w:t>
      </w:r>
      <w:r>
        <w:t>/2019</w:t>
      </w:r>
    </w:p>
    <w:p w14:paraId="50AE34C8" w14:textId="77777777" w:rsidR="00B90CB9" w:rsidRDefault="00B90CB9" w:rsidP="00AC4355">
      <w:pPr>
        <w:rPr>
          <w:b/>
          <w:u w:val="single"/>
        </w:rPr>
      </w:pPr>
    </w:p>
    <w:p w14:paraId="2E54991F" w14:textId="0020FC39" w:rsidR="00BC6E0A" w:rsidRDefault="00BC6E0A" w:rsidP="00AC4355">
      <w:pPr>
        <w:rPr>
          <w:b/>
          <w:u w:val="single"/>
        </w:rPr>
      </w:pPr>
      <w:r>
        <w:rPr>
          <w:b/>
          <w:u w:val="single"/>
        </w:rPr>
        <w:t xml:space="preserve">What </w:t>
      </w:r>
      <w:r w:rsidR="00391289">
        <w:rPr>
          <w:b/>
          <w:u w:val="single"/>
        </w:rPr>
        <w:t xml:space="preserve">is </w:t>
      </w:r>
      <w:r>
        <w:rPr>
          <w:b/>
          <w:u w:val="single"/>
        </w:rPr>
        <w:t>the Issue for Pediatricians?</w:t>
      </w:r>
    </w:p>
    <w:p w14:paraId="02CFBBD7" w14:textId="385F9808" w:rsidR="00BC6E0A" w:rsidRPr="00894A75" w:rsidRDefault="00894A75" w:rsidP="00AC4355">
      <w:pPr>
        <w:rPr>
          <w:bCs/>
        </w:rPr>
      </w:pPr>
      <w:r>
        <w:rPr>
          <w:bCs/>
        </w:rPr>
        <w:t xml:space="preserve">Members report some health plans will not pay for instrument-based screening or will bundle payment with the office visit.  </w:t>
      </w:r>
      <w:r w:rsidR="00301B87">
        <w:rPr>
          <w:bCs/>
        </w:rPr>
        <w:t>By considering the vision screen to be incidental to the office visits, payers may inappropriate</w:t>
      </w:r>
      <w:r w:rsidR="00093EF4">
        <w:rPr>
          <w:bCs/>
        </w:rPr>
        <w:t>ly</w:t>
      </w:r>
      <w:r w:rsidR="00301B87">
        <w:rPr>
          <w:bCs/>
        </w:rPr>
        <w:t xml:space="preserve"> discount the payment for services provided. Plans having coverage limitations restrict access to diagnostic services.</w:t>
      </w:r>
    </w:p>
    <w:p w14:paraId="304D2146" w14:textId="1A024715" w:rsidR="00AC4355" w:rsidRDefault="00AC4355" w:rsidP="00AC4355">
      <w:pPr>
        <w:rPr>
          <w:b/>
          <w:u w:val="single"/>
        </w:rPr>
      </w:pPr>
    </w:p>
    <w:p w14:paraId="646DC37F" w14:textId="67F25DFA" w:rsidR="00AC4355" w:rsidRDefault="00AC4355" w:rsidP="00AC4355">
      <w:pPr>
        <w:rPr>
          <w:b/>
          <w:u w:val="single"/>
        </w:rPr>
      </w:pPr>
      <w:r>
        <w:rPr>
          <w:b/>
          <w:u w:val="single"/>
        </w:rPr>
        <w:t xml:space="preserve">Impact to Pediatricians </w:t>
      </w:r>
    </w:p>
    <w:p w14:paraId="315FAFA7" w14:textId="3562B6DE" w:rsidR="00F8582A" w:rsidRDefault="00301B87" w:rsidP="00AC4355">
      <w:pPr>
        <w:rPr>
          <w:b/>
          <w:u w:val="single"/>
        </w:rPr>
      </w:pPr>
      <w:r>
        <w:rPr>
          <w:bCs/>
        </w:rPr>
        <w:t xml:space="preserve">Inappropriate bundling and non-payment adversely </w:t>
      </w:r>
      <w:proofErr w:type="gramStart"/>
      <w:r>
        <w:rPr>
          <w:bCs/>
        </w:rPr>
        <w:t>impacts</w:t>
      </w:r>
      <w:proofErr w:type="gramEnd"/>
      <w:r>
        <w:rPr>
          <w:bCs/>
        </w:rPr>
        <w:t xml:space="preserve"> the financial viability of the practice by reducing payment for services provided.  Additionally, </w:t>
      </w:r>
      <w:r w:rsidR="00093EF4">
        <w:rPr>
          <w:bCs/>
        </w:rPr>
        <w:t xml:space="preserve">inappropriate bundling is </w:t>
      </w:r>
      <w:r>
        <w:rPr>
          <w:bCs/>
        </w:rPr>
        <w:t>counter to correct coding guidance</w:t>
      </w:r>
      <w:r w:rsidR="00093EF4">
        <w:rPr>
          <w:bCs/>
        </w:rPr>
        <w:t xml:space="preserve">.  </w:t>
      </w:r>
      <w:r w:rsidR="00093EF4">
        <w:t>Payers who ignore correctly applied coding guidelines and CPT modifiers inappropriately underpay physicians for the services provided.</w:t>
      </w:r>
    </w:p>
    <w:p w14:paraId="28F14139" w14:textId="77777777" w:rsidR="00F8582A" w:rsidRDefault="00F8582A" w:rsidP="00AC4355">
      <w:pPr>
        <w:rPr>
          <w:rFonts w:eastAsia="Times New Roman"/>
        </w:rPr>
      </w:pPr>
    </w:p>
    <w:p w14:paraId="21BE0AEE" w14:textId="6CF5E39A" w:rsidR="00AC4355" w:rsidRDefault="00AC4355" w:rsidP="00AC4355">
      <w:pPr>
        <w:rPr>
          <w:rFonts w:eastAsia="Times New Roman"/>
          <w:b/>
          <w:u w:val="single"/>
        </w:rPr>
      </w:pPr>
      <w:r>
        <w:rPr>
          <w:rFonts w:eastAsia="Times New Roman"/>
          <w:b/>
          <w:u w:val="single"/>
        </w:rPr>
        <w:t>A</w:t>
      </w:r>
      <w:r w:rsidR="00B04D0A">
        <w:rPr>
          <w:rFonts w:eastAsia="Times New Roman"/>
          <w:b/>
          <w:u w:val="single"/>
        </w:rPr>
        <w:t>AP A</w:t>
      </w:r>
      <w:r>
        <w:rPr>
          <w:rFonts w:eastAsia="Times New Roman"/>
          <w:b/>
          <w:u w:val="single"/>
        </w:rPr>
        <w:t>ction Taken</w:t>
      </w:r>
    </w:p>
    <w:p w14:paraId="050814DE" w14:textId="221531F0" w:rsidR="00536CAD" w:rsidRDefault="00536CAD" w:rsidP="00AC4355">
      <w:pPr>
        <w:rPr>
          <w:rFonts w:eastAsia="Times New Roman"/>
          <w:b/>
          <w:u w:val="single"/>
        </w:rPr>
      </w:pPr>
    </w:p>
    <w:p w14:paraId="447D88FB" w14:textId="22F0FF4F" w:rsidR="00B74802" w:rsidRPr="00093EF4" w:rsidRDefault="002014D5" w:rsidP="00B74802">
      <w:pPr>
        <w:pStyle w:val="Default"/>
        <w:numPr>
          <w:ilvl w:val="0"/>
          <w:numId w:val="7"/>
        </w:numPr>
        <w:rPr>
          <w:rFonts w:asciiTheme="minorHAnsi" w:hAnsiTheme="minorHAnsi" w:cstheme="minorHAnsi"/>
          <w:sz w:val="22"/>
          <w:szCs w:val="22"/>
        </w:rPr>
      </w:pPr>
      <w:r w:rsidRPr="00093EF4">
        <w:rPr>
          <w:rFonts w:asciiTheme="minorHAnsi" w:eastAsia="Times New Roman" w:hAnsiTheme="minorHAnsi" w:cstheme="minorHAnsi"/>
          <w:sz w:val="22"/>
          <w:szCs w:val="22"/>
        </w:rPr>
        <w:t xml:space="preserve">The AAP published </w:t>
      </w:r>
      <w:r w:rsidRPr="00093EF4">
        <w:rPr>
          <w:rFonts w:asciiTheme="minorHAnsi" w:hAnsiTheme="minorHAnsi" w:cstheme="minorHAnsi"/>
          <w:sz w:val="22"/>
          <w:szCs w:val="22"/>
        </w:rPr>
        <w:t>the</w:t>
      </w:r>
      <w:r w:rsidR="00B74802" w:rsidRPr="00093EF4">
        <w:rPr>
          <w:rFonts w:asciiTheme="minorHAnsi" w:hAnsiTheme="minorHAnsi" w:cstheme="minorHAnsi"/>
          <w:sz w:val="22"/>
          <w:szCs w:val="22"/>
        </w:rPr>
        <w:t xml:space="preserve"> </w:t>
      </w:r>
      <w:r w:rsidRPr="002014D5">
        <w:rPr>
          <w:rFonts w:asciiTheme="minorHAnsi" w:hAnsiTheme="minorHAnsi" w:cstheme="minorHAnsi"/>
          <w:i/>
          <w:iCs/>
          <w:sz w:val="22"/>
          <w:szCs w:val="22"/>
        </w:rPr>
        <w:t xml:space="preserve">Visual System Assessment in Infants, Children and Young Adults by Pediatricians </w:t>
      </w:r>
      <w:r w:rsidR="00B74802" w:rsidRPr="00093EF4">
        <w:rPr>
          <w:rFonts w:asciiTheme="minorHAnsi" w:hAnsiTheme="minorHAnsi" w:cstheme="minorHAnsi"/>
          <w:sz w:val="22"/>
          <w:szCs w:val="22"/>
        </w:rPr>
        <w:t xml:space="preserve">see </w:t>
      </w:r>
      <w:hyperlink r:id="rId6" w:history="1">
        <w:r w:rsidR="00B74802" w:rsidRPr="002014D5">
          <w:rPr>
            <w:rStyle w:val="Hyperlink"/>
            <w:rFonts w:asciiTheme="minorHAnsi" w:hAnsiTheme="minorHAnsi" w:cstheme="minorHAnsi"/>
            <w:sz w:val="22"/>
            <w:szCs w:val="22"/>
          </w:rPr>
          <w:t>www.pediatrics.org/cgi/doi/10.1542/peds.2015-3596</w:t>
        </w:r>
      </w:hyperlink>
      <w:r w:rsidR="00B74802" w:rsidRPr="00093EF4">
        <w:rPr>
          <w:rFonts w:asciiTheme="minorHAnsi" w:hAnsiTheme="minorHAnsi" w:cstheme="minorHAnsi"/>
          <w:sz w:val="22"/>
          <w:szCs w:val="22"/>
        </w:rPr>
        <w:t xml:space="preserve"> and the clinical</w:t>
      </w:r>
    </w:p>
    <w:p w14:paraId="711F09AF" w14:textId="77777777" w:rsidR="00B74802" w:rsidRPr="00093EF4" w:rsidRDefault="002014D5" w:rsidP="00B74802">
      <w:pPr>
        <w:pStyle w:val="Default"/>
        <w:ind w:left="720"/>
        <w:rPr>
          <w:rFonts w:asciiTheme="minorHAnsi" w:hAnsiTheme="minorHAnsi" w:cstheme="minorHAnsi"/>
          <w:sz w:val="22"/>
          <w:szCs w:val="22"/>
        </w:rPr>
      </w:pPr>
      <w:r w:rsidRPr="002014D5">
        <w:rPr>
          <w:rFonts w:asciiTheme="minorHAnsi" w:hAnsiTheme="minorHAnsi" w:cstheme="minorHAnsi"/>
          <w:sz w:val="22"/>
          <w:szCs w:val="22"/>
        </w:rPr>
        <w:t xml:space="preserve">report </w:t>
      </w:r>
      <w:r w:rsidRPr="002014D5">
        <w:rPr>
          <w:rFonts w:asciiTheme="minorHAnsi" w:hAnsiTheme="minorHAnsi" w:cstheme="minorHAnsi"/>
          <w:i/>
          <w:iCs/>
          <w:sz w:val="22"/>
          <w:szCs w:val="22"/>
        </w:rPr>
        <w:t xml:space="preserve">Procedures for the Evaluation of the Visual System by Pediatricians </w:t>
      </w:r>
      <w:r w:rsidRPr="002014D5">
        <w:rPr>
          <w:rFonts w:asciiTheme="minorHAnsi" w:hAnsiTheme="minorHAnsi" w:cstheme="minorHAnsi"/>
          <w:sz w:val="22"/>
          <w:szCs w:val="22"/>
        </w:rPr>
        <w:t xml:space="preserve">at </w:t>
      </w:r>
      <w:hyperlink r:id="rId7" w:history="1">
        <w:r w:rsidR="00B74802" w:rsidRPr="002014D5">
          <w:rPr>
            <w:rStyle w:val="Hyperlink"/>
            <w:rFonts w:asciiTheme="minorHAnsi" w:hAnsiTheme="minorHAnsi" w:cstheme="minorHAnsi"/>
            <w:sz w:val="22"/>
            <w:szCs w:val="22"/>
          </w:rPr>
          <w:t>www.pediatrics.org/cgi/doi/10.1542/peds.2015-3597</w:t>
        </w:r>
      </w:hyperlink>
      <w:r w:rsidRPr="002014D5">
        <w:rPr>
          <w:rFonts w:asciiTheme="minorHAnsi" w:hAnsiTheme="minorHAnsi" w:cstheme="minorHAnsi"/>
          <w:sz w:val="22"/>
          <w:szCs w:val="22"/>
        </w:rPr>
        <w:t>.</w:t>
      </w:r>
      <w:r w:rsidR="00B74802" w:rsidRPr="00093EF4">
        <w:rPr>
          <w:rFonts w:asciiTheme="minorHAnsi" w:hAnsiTheme="minorHAnsi" w:cstheme="minorHAnsi"/>
          <w:sz w:val="22"/>
          <w:szCs w:val="22"/>
        </w:rPr>
        <w:t xml:space="preserve"> </w:t>
      </w:r>
    </w:p>
    <w:p w14:paraId="0F70C94B" w14:textId="77777777" w:rsidR="00093EF4" w:rsidRPr="00093EF4" w:rsidRDefault="00B74802" w:rsidP="00755ADD">
      <w:pPr>
        <w:pStyle w:val="Default"/>
        <w:numPr>
          <w:ilvl w:val="0"/>
          <w:numId w:val="7"/>
        </w:numPr>
        <w:rPr>
          <w:rFonts w:asciiTheme="minorHAnsi" w:hAnsiTheme="minorHAnsi" w:cstheme="minorHAnsi"/>
          <w:sz w:val="22"/>
          <w:szCs w:val="22"/>
        </w:rPr>
      </w:pPr>
      <w:r w:rsidRPr="002014D5">
        <w:rPr>
          <w:rFonts w:asciiTheme="minorHAnsi" w:hAnsiTheme="minorHAnsi" w:cstheme="minorHAnsi"/>
          <w:sz w:val="22"/>
          <w:szCs w:val="22"/>
        </w:rPr>
        <w:t>The policy statement articulates the screening criteria and screening methods, and the clinical report explains the various evaluation procedures that are available for use by the pediatrician or primary care physician.</w:t>
      </w:r>
    </w:p>
    <w:p w14:paraId="291DC05E" w14:textId="4D26B028" w:rsidR="00B74802" w:rsidRPr="00093EF4" w:rsidRDefault="002014D5" w:rsidP="00755ADD">
      <w:pPr>
        <w:pStyle w:val="Default"/>
        <w:numPr>
          <w:ilvl w:val="0"/>
          <w:numId w:val="7"/>
        </w:numPr>
        <w:rPr>
          <w:rFonts w:asciiTheme="minorHAnsi" w:hAnsiTheme="minorHAnsi" w:cstheme="minorHAnsi"/>
          <w:sz w:val="22"/>
          <w:szCs w:val="22"/>
        </w:rPr>
      </w:pPr>
      <w:r w:rsidRPr="00093EF4">
        <w:rPr>
          <w:rFonts w:asciiTheme="minorHAnsi" w:eastAsia="Times New Roman" w:hAnsiTheme="minorHAnsi" w:cstheme="minorHAnsi"/>
          <w:sz w:val="22"/>
          <w:szCs w:val="22"/>
        </w:rPr>
        <w:t xml:space="preserve">The </w:t>
      </w:r>
      <w:r w:rsidR="00536CAD" w:rsidRPr="00093EF4">
        <w:rPr>
          <w:rFonts w:asciiTheme="minorHAnsi" w:eastAsia="Times New Roman" w:hAnsiTheme="minorHAnsi" w:cstheme="minorHAnsi"/>
          <w:sz w:val="22"/>
          <w:szCs w:val="22"/>
        </w:rPr>
        <w:t xml:space="preserve">AAP </w:t>
      </w:r>
      <w:r w:rsidRPr="00093EF4">
        <w:rPr>
          <w:rFonts w:asciiTheme="minorHAnsi" w:eastAsia="Times New Roman" w:hAnsiTheme="minorHAnsi" w:cstheme="minorHAnsi"/>
          <w:sz w:val="22"/>
          <w:szCs w:val="22"/>
        </w:rPr>
        <w:t>sent letters to the national and largest regional commercial health plans</w:t>
      </w:r>
      <w:r w:rsidR="00B74802" w:rsidRPr="00093EF4">
        <w:rPr>
          <w:rFonts w:asciiTheme="minorHAnsi" w:eastAsia="Times New Roman" w:hAnsiTheme="minorHAnsi" w:cstheme="minorHAnsi"/>
          <w:sz w:val="22"/>
          <w:szCs w:val="22"/>
        </w:rPr>
        <w:t xml:space="preserve"> </w:t>
      </w:r>
      <w:r w:rsidR="00B74802" w:rsidRPr="00093EF4">
        <w:rPr>
          <w:rFonts w:asciiTheme="minorHAnsi" w:hAnsiTheme="minorHAnsi" w:cstheme="minorHAnsi"/>
          <w:sz w:val="22"/>
          <w:szCs w:val="22"/>
        </w:rPr>
        <w:t xml:space="preserve">informing them of the current AAP guidance on vision assessment and to </w:t>
      </w:r>
      <w:r w:rsidR="00093EF4" w:rsidRPr="00093EF4">
        <w:rPr>
          <w:rFonts w:asciiTheme="minorHAnsi" w:hAnsiTheme="minorHAnsi" w:cstheme="minorHAnsi"/>
          <w:sz w:val="22"/>
          <w:szCs w:val="22"/>
        </w:rPr>
        <w:t>provide benefits coverage and payment for vision screening and assessment as per the recommendations.</w:t>
      </w:r>
    </w:p>
    <w:p w14:paraId="56D9CD4C" w14:textId="5CF81581" w:rsidR="00B74802" w:rsidRPr="00093EF4" w:rsidRDefault="00B74802" w:rsidP="00536CAD">
      <w:pPr>
        <w:pStyle w:val="ListParagraph"/>
        <w:numPr>
          <w:ilvl w:val="0"/>
          <w:numId w:val="5"/>
        </w:numPr>
        <w:rPr>
          <w:rFonts w:asciiTheme="minorHAnsi" w:eastAsia="Times New Roman" w:hAnsiTheme="minorHAnsi" w:cstheme="minorHAnsi"/>
        </w:rPr>
      </w:pPr>
      <w:r w:rsidRPr="00093EF4">
        <w:rPr>
          <w:rFonts w:asciiTheme="minorHAnsi" w:hAnsiTheme="minorHAnsi" w:cstheme="minorHAnsi"/>
        </w:rPr>
        <w:t>UnitedHealthcare re</w:t>
      </w:r>
      <w:r w:rsidR="008F4796" w:rsidRPr="00093EF4">
        <w:rPr>
          <w:rFonts w:asciiTheme="minorHAnsi" w:hAnsiTheme="minorHAnsi" w:cstheme="minorHAnsi"/>
        </w:rPr>
        <w:t>vised its age limits for instrument-based screening</w:t>
      </w:r>
      <w:r w:rsidR="00093EF4" w:rsidRPr="00093EF4">
        <w:rPr>
          <w:rFonts w:asciiTheme="minorHAnsi" w:hAnsiTheme="minorHAnsi" w:cstheme="minorHAnsi"/>
        </w:rPr>
        <w:t xml:space="preserve"> and now covers vision screening for children aged 1 through 3 years using instrument</w:t>
      </w:r>
      <w:r w:rsidR="004E0901">
        <w:rPr>
          <w:rFonts w:asciiTheme="minorHAnsi" w:hAnsiTheme="minorHAnsi" w:cstheme="minorHAnsi"/>
        </w:rPr>
        <w:t>-</w:t>
      </w:r>
      <w:r w:rsidR="00093EF4" w:rsidRPr="00093EF4">
        <w:rPr>
          <w:rFonts w:asciiTheme="minorHAnsi" w:hAnsiTheme="minorHAnsi" w:cstheme="minorHAnsi"/>
        </w:rPr>
        <w:t>based screening and allowing instrument</w:t>
      </w:r>
      <w:r w:rsidR="004E0901">
        <w:rPr>
          <w:rFonts w:asciiTheme="minorHAnsi" w:hAnsiTheme="minorHAnsi" w:cstheme="minorHAnsi"/>
        </w:rPr>
        <w:t>-</w:t>
      </w:r>
      <w:r w:rsidR="00093EF4" w:rsidRPr="00093EF4">
        <w:rPr>
          <w:rFonts w:asciiTheme="minorHAnsi" w:hAnsiTheme="minorHAnsi" w:cstheme="minorHAnsi"/>
        </w:rPr>
        <w:t>based screening in older children with developmental delays</w:t>
      </w:r>
    </w:p>
    <w:p w14:paraId="789E4DA9" w14:textId="3847F6C8" w:rsidR="008F4796" w:rsidRPr="00093EF4" w:rsidRDefault="008F4796" w:rsidP="008F4796">
      <w:pPr>
        <w:pStyle w:val="ListParagraph"/>
        <w:rPr>
          <w:rFonts w:asciiTheme="minorHAnsi" w:hAnsiTheme="minorHAnsi" w:cstheme="minorHAnsi"/>
        </w:rPr>
      </w:pPr>
      <w:r w:rsidRPr="00093EF4">
        <w:rPr>
          <w:rFonts w:asciiTheme="minorHAnsi" w:hAnsiTheme="minorHAnsi" w:cstheme="minorHAnsi"/>
        </w:rPr>
        <w:t xml:space="preserve">See </w:t>
      </w:r>
      <w:hyperlink r:id="rId8" w:history="1">
        <w:r w:rsidRPr="00093EF4">
          <w:rPr>
            <w:rStyle w:val="Hyperlink"/>
            <w:rFonts w:asciiTheme="minorHAnsi" w:hAnsiTheme="minorHAnsi" w:cstheme="minorHAnsi"/>
          </w:rPr>
          <w:t>https://www.aap.org/en-us/Documents/UHC_response_Vision_Screen_Dec2016.pdf</w:t>
        </w:r>
      </w:hyperlink>
    </w:p>
    <w:p w14:paraId="28F84E05" w14:textId="77777777" w:rsidR="008F4796" w:rsidRPr="008F4796" w:rsidRDefault="008F4796" w:rsidP="008F4796">
      <w:pPr>
        <w:pStyle w:val="ListParagraph"/>
        <w:rPr>
          <w:rFonts w:eastAsia="Times New Roman"/>
        </w:rPr>
      </w:pPr>
    </w:p>
    <w:p w14:paraId="646DC8FA" w14:textId="3D90F0E9" w:rsidR="00AC4355" w:rsidRDefault="00AC4355" w:rsidP="00AC4355">
      <w:pPr>
        <w:rPr>
          <w:rFonts w:eastAsia="Times New Roman"/>
        </w:rPr>
      </w:pPr>
    </w:p>
    <w:p w14:paraId="7C76FA79" w14:textId="7B74005F" w:rsidR="00D20A53" w:rsidRDefault="00D20A53" w:rsidP="00AC4355">
      <w:pPr>
        <w:rPr>
          <w:rFonts w:eastAsia="Times New Roman"/>
        </w:rPr>
      </w:pPr>
    </w:p>
    <w:p w14:paraId="2C3F25A3" w14:textId="0D93B210" w:rsidR="00D20A53" w:rsidRDefault="00D20A53" w:rsidP="00AC4355">
      <w:pPr>
        <w:rPr>
          <w:rFonts w:eastAsia="Times New Roman"/>
        </w:rPr>
      </w:pPr>
    </w:p>
    <w:p w14:paraId="7622CD1A" w14:textId="30234E9D" w:rsidR="00D20A53" w:rsidRDefault="00D20A53" w:rsidP="00AC4355">
      <w:pPr>
        <w:rPr>
          <w:rFonts w:eastAsia="Times New Roman"/>
        </w:rPr>
      </w:pPr>
    </w:p>
    <w:p w14:paraId="558BB3BA" w14:textId="6B7AC67A" w:rsidR="00D20A53" w:rsidRDefault="00D20A53" w:rsidP="00AC4355">
      <w:pPr>
        <w:rPr>
          <w:rFonts w:eastAsia="Times New Roman"/>
        </w:rPr>
      </w:pPr>
    </w:p>
    <w:p w14:paraId="601D2357" w14:textId="77777777" w:rsidR="00D20A53" w:rsidRDefault="00D20A53" w:rsidP="00AC4355">
      <w:pPr>
        <w:rPr>
          <w:rFonts w:eastAsia="Times New Roman"/>
        </w:rPr>
      </w:pPr>
    </w:p>
    <w:p w14:paraId="72BC8CEB" w14:textId="3B8FD429" w:rsidR="00AC4355" w:rsidRDefault="00AC4355" w:rsidP="00AC4355">
      <w:pPr>
        <w:rPr>
          <w:rFonts w:eastAsia="Times New Roman"/>
        </w:rPr>
      </w:pPr>
      <w:r w:rsidRPr="00AC4355">
        <w:rPr>
          <w:rFonts w:eastAsia="Times New Roman"/>
          <w:b/>
          <w:u w:val="single"/>
        </w:rPr>
        <w:lastRenderedPageBreak/>
        <w:t>AAP Resources</w:t>
      </w:r>
    </w:p>
    <w:p w14:paraId="17CAF5D9" w14:textId="60464E36" w:rsidR="008A2C1C" w:rsidRDefault="008A2C1C" w:rsidP="00AC4355">
      <w:pPr>
        <w:rPr>
          <w:rFonts w:eastAsia="Times New Roman"/>
        </w:rPr>
      </w:pPr>
    </w:p>
    <w:p w14:paraId="42A2DD5B" w14:textId="0415FE9F" w:rsidR="00D20A53" w:rsidRPr="00D20A53" w:rsidRDefault="00B74802" w:rsidP="004E0901">
      <w:pPr>
        <w:pStyle w:val="ListParagraph"/>
        <w:numPr>
          <w:ilvl w:val="0"/>
          <w:numId w:val="5"/>
        </w:numPr>
        <w:rPr>
          <w:rFonts w:eastAsia="Times New Roman"/>
        </w:rPr>
      </w:pPr>
      <w:r w:rsidRPr="004E0901">
        <w:t xml:space="preserve">The AAP letter </w:t>
      </w:r>
      <w:r w:rsidR="00D20A53">
        <w:t xml:space="preserve">on </w:t>
      </w:r>
      <w:r w:rsidRPr="004E0901">
        <w:t xml:space="preserve">can be accessed on the private payer advocacy webpage at </w:t>
      </w:r>
      <w:hyperlink r:id="rId9" w:history="1">
        <w:r w:rsidR="00D20A53" w:rsidRPr="00B41692">
          <w:rPr>
            <w:rStyle w:val="Hyperlink"/>
          </w:rPr>
          <w:t>https://www.aap.org/en-us/Documents/Ltr_Vision_Screen_policy_2016.pdf</w:t>
        </w:r>
      </w:hyperlink>
    </w:p>
    <w:p w14:paraId="4109080C" w14:textId="58E1A588" w:rsidR="00B74802" w:rsidRPr="00D20A53" w:rsidRDefault="00D20A53" w:rsidP="00D20A53">
      <w:pPr>
        <w:ind w:left="720"/>
        <w:rPr>
          <w:rFonts w:eastAsia="Times New Roman"/>
        </w:rPr>
      </w:pPr>
      <w:r>
        <w:t>f</w:t>
      </w:r>
      <w:r w:rsidR="00B74802" w:rsidRPr="004E0901">
        <w:t>or AAP chapters, pediatric councils, and members to use in discussions with their payer contacts.</w:t>
      </w:r>
    </w:p>
    <w:p w14:paraId="63C03233" w14:textId="77777777" w:rsidR="00D20A53" w:rsidRPr="00D20A53" w:rsidRDefault="00B74802" w:rsidP="00093EF4">
      <w:pPr>
        <w:pStyle w:val="ListParagraph"/>
        <w:numPr>
          <w:ilvl w:val="0"/>
          <w:numId w:val="5"/>
        </w:numPr>
        <w:rPr>
          <w:b/>
          <w:u w:val="single"/>
        </w:rPr>
      </w:pPr>
      <w:r w:rsidRPr="00093EF4">
        <w:rPr>
          <w:rStyle w:val="Emphasis"/>
        </w:rPr>
        <w:t>Visual System Assessment in Infants, Children and Young Adults by Pediatricians</w:t>
      </w:r>
      <w:r w:rsidRPr="00093EF4">
        <w:t xml:space="preserve"> is available at </w:t>
      </w:r>
      <w:hyperlink r:id="rId10" w:history="1">
        <w:r w:rsidRPr="00093EF4">
          <w:rPr>
            <w:rStyle w:val="Hyperlink"/>
          </w:rPr>
          <w:t>www.pediatrics.org/cgi/doi/10.1542/peds.2015-3596</w:t>
        </w:r>
      </w:hyperlink>
      <w:r w:rsidRPr="00093EF4">
        <w:t xml:space="preserve">, and the clinical report </w:t>
      </w:r>
      <w:r w:rsidRPr="00093EF4">
        <w:rPr>
          <w:rStyle w:val="Emphasis"/>
        </w:rPr>
        <w:t>Procedures for the Evaluation of the Visual System by Pediatricians</w:t>
      </w:r>
      <w:r w:rsidRPr="00093EF4">
        <w:t xml:space="preserve"> is at </w:t>
      </w:r>
      <w:hyperlink r:id="rId11" w:history="1">
        <w:r w:rsidR="004E0901" w:rsidRPr="004240CA">
          <w:rPr>
            <w:rStyle w:val="Hyperlink"/>
          </w:rPr>
          <w:t>www.pediatrics.org/cgi/doi/10.1542/peds.2015-3597</w:t>
        </w:r>
      </w:hyperlink>
      <w:r w:rsidRPr="00093EF4">
        <w:t>.</w:t>
      </w:r>
    </w:p>
    <w:p w14:paraId="1671772D" w14:textId="6DE82454" w:rsidR="00AC4355" w:rsidRPr="00093EF4" w:rsidRDefault="00D20A53" w:rsidP="00093EF4">
      <w:pPr>
        <w:pStyle w:val="ListParagraph"/>
        <w:numPr>
          <w:ilvl w:val="0"/>
          <w:numId w:val="5"/>
        </w:numPr>
        <w:rPr>
          <w:b/>
          <w:u w:val="single"/>
        </w:rPr>
      </w:pPr>
      <w:r>
        <w:t>To address carrier bundling for vision screening, please see the AAP template letter attached below</w:t>
      </w:r>
      <w:r w:rsidR="00B74802" w:rsidRPr="00093EF4">
        <w:t xml:space="preserve">  </w:t>
      </w:r>
    </w:p>
    <w:p w14:paraId="7DA365CF" w14:textId="77777777" w:rsidR="00093EF4" w:rsidRDefault="00093EF4" w:rsidP="00AC4355">
      <w:pPr>
        <w:rPr>
          <w:b/>
          <w:u w:val="single"/>
        </w:rPr>
      </w:pPr>
    </w:p>
    <w:p w14:paraId="1676A544" w14:textId="631D7F24" w:rsidR="00AC4355" w:rsidRDefault="00AC4355" w:rsidP="00AC4355">
      <w:pPr>
        <w:rPr>
          <w:b/>
          <w:u w:val="single"/>
        </w:rPr>
      </w:pPr>
      <w:r>
        <w:rPr>
          <w:b/>
          <w:u w:val="single"/>
        </w:rPr>
        <w:t>Key Takeaways</w:t>
      </w:r>
    </w:p>
    <w:p w14:paraId="18485A68" w14:textId="2AC1023A" w:rsidR="008A2C1C" w:rsidRDefault="008A2C1C" w:rsidP="00AC4355">
      <w:pPr>
        <w:rPr>
          <w:b/>
          <w:u w:val="single"/>
        </w:rPr>
      </w:pPr>
    </w:p>
    <w:p w14:paraId="497F389F" w14:textId="18B80D78" w:rsidR="008A2C1C" w:rsidRPr="008A2C1C" w:rsidRDefault="008A2C1C" w:rsidP="00AC4355">
      <w:r>
        <w:t>AAP chapters and pediatric councils should:</w:t>
      </w:r>
    </w:p>
    <w:p w14:paraId="415104D2" w14:textId="77777777" w:rsidR="00720604" w:rsidRPr="00720604" w:rsidRDefault="00720604" w:rsidP="00720604">
      <w:pPr>
        <w:pStyle w:val="ListParagraph"/>
        <w:numPr>
          <w:ilvl w:val="0"/>
          <w:numId w:val="5"/>
        </w:numPr>
        <w:rPr>
          <w:b/>
          <w:u w:val="single"/>
        </w:rPr>
      </w:pPr>
      <w:r w:rsidRPr="00720604">
        <w:t>Encourage benefits coverage that aligns with the current AAP recommendations for instrument-based screening</w:t>
      </w:r>
    </w:p>
    <w:p w14:paraId="42D6B0FF" w14:textId="557E53E5" w:rsidR="00720604" w:rsidRPr="00720604" w:rsidRDefault="00720604" w:rsidP="00093EF4">
      <w:pPr>
        <w:pStyle w:val="ListParagraph"/>
        <w:numPr>
          <w:ilvl w:val="0"/>
          <w:numId w:val="5"/>
        </w:numPr>
        <w:rPr>
          <w:b/>
          <w:u w:val="single"/>
        </w:rPr>
      </w:pPr>
      <w:r w:rsidRPr="00720604">
        <w:t>As noted in the AAP clinical report, instrument-based screening can be relatively quick and requires less attention from the child compared with traditional visual acuity screening. Further, as stated in the AAP documents, instrument</w:t>
      </w:r>
      <w:r>
        <w:t>-</w:t>
      </w:r>
      <w:r w:rsidRPr="00720604">
        <w:t>based screening is an approved technology that is endorsed by the United States Preventative Services Task Force (USPSTF).</w:t>
      </w:r>
    </w:p>
    <w:p w14:paraId="61BEA39F" w14:textId="5B3C0EB9" w:rsidR="008A2C1C" w:rsidRPr="00720604" w:rsidRDefault="00093EF4" w:rsidP="00093EF4">
      <w:pPr>
        <w:pStyle w:val="ListParagraph"/>
        <w:numPr>
          <w:ilvl w:val="0"/>
          <w:numId w:val="5"/>
        </w:numPr>
        <w:rPr>
          <w:b/>
          <w:u w:val="single"/>
        </w:rPr>
      </w:pPr>
      <w:r w:rsidRPr="00720604">
        <w:rPr>
          <w:bCs/>
        </w:rPr>
        <w:t xml:space="preserve">Advocate to payers </w:t>
      </w:r>
      <w:r w:rsidRPr="00720604">
        <w:t>to pay for the visual acuity screening (CPT code 99173) and instrument</w:t>
      </w:r>
      <w:r w:rsidR="004E0901">
        <w:t>-</w:t>
      </w:r>
      <w:r w:rsidRPr="00720604">
        <w:t>based ocular screening (CPT codes 99174 and 99177)</w:t>
      </w:r>
      <w:r w:rsidR="00720604" w:rsidRPr="00720604">
        <w:t xml:space="preserve"> as a separately reported service, apart from the reported office visit and other preventive care services.</w:t>
      </w:r>
      <w:r w:rsidR="005C5A58" w:rsidRPr="00720604">
        <w:t xml:space="preserve"> </w:t>
      </w:r>
      <w:r w:rsidRPr="00720604">
        <w:t>Although these codes are not covered under Medicare, payers should pay, at a minimum of their published values</w:t>
      </w:r>
      <w:r w:rsidR="005C5A58" w:rsidRPr="00720604">
        <w:t>.</w:t>
      </w:r>
    </w:p>
    <w:p w14:paraId="27377D94" w14:textId="05C9FD5D" w:rsidR="00720604" w:rsidRPr="004E0901" w:rsidRDefault="00720604" w:rsidP="00720604">
      <w:pPr>
        <w:pStyle w:val="ListParagraph"/>
        <w:numPr>
          <w:ilvl w:val="0"/>
          <w:numId w:val="5"/>
        </w:numPr>
        <w:rPr>
          <w:rFonts w:asciiTheme="minorHAnsi" w:hAnsiTheme="minorHAnsi" w:cstheme="minorHAnsi"/>
          <w:sz w:val="23"/>
          <w:szCs w:val="23"/>
        </w:rPr>
      </w:pPr>
      <w:r w:rsidRPr="004E0901">
        <w:rPr>
          <w:rFonts w:asciiTheme="minorHAnsi" w:hAnsiTheme="minorHAnsi" w:cstheme="minorHAnsi"/>
        </w:rPr>
        <w:t>Clarify the fact that CPT guidelines indicate that services that are identified with specific codes should be reported separately from any other code and, therefore, they should not be “bundled” into any other code(s). This concept is found throughout CPT guidelines</w:t>
      </w:r>
      <w:r w:rsidR="004E0901">
        <w:rPr>
          <w:rFonts w:asciiTheme="minorHAnsi" w:hAnsiTheme="minorHAnsi" w:cstheme="minorHAnsi"/>
        </w:rPr>
        <w:t xml:space="preserve"> and for </w:t>
      </w:r>
    </w:p>
    <w:p w14:paraId="16D9515D" w14:textId="0D8FCDAA" w:rsidR="00720604" w:rsidRPr="004E0901" w:rsidRDefault="00720604" w:rsidP="004E0901">
      <w:pPr>
        <w:ind w:left="720"/>
        <w:rPr>
          <w:rFonts w:cstheme="minorHAnsi"/>
        </w:rPr>
      </w:pPr>
      <w:r w:rsidRPr="004E0901">
        <w:rPr>
          <w:rFonts w:cstheme="minorHAnsi"/>
        </w:rPr>
        <w:t xml:space="preserve">Vision Screening: “Other identifiable services unrelated to this screening test provided at the same time may be </w:t>
      </w:r>
      <w:r w:rsidRPr="004E0901">
        <w:rPr>
          <w:rFonts w:cstheme="minorHAnsi"/>
          <w:iCs/>
        </w:rPr>
        <w:t xml:space="preserve">reported separately </w:t>
      </w:r>
      <w:r w:rsidRPr="004E0901">
        <w:rPr>
          <w:rFonts w:cstheme="minorHAnsi"/>
        </w:rPr>
        <w:t>[</w:t>
      </w:r>
      <w:proofErr w:type="spellStart"/>
      <w:r w:rsidRPr="004E0901">
        <w:rPr>
          <w:rFonts w:cstheme="minorHAnsi"/>
        </w:rPr>
        <w:t>eg</w:t>
      </w:r>
      <w:proofErr w:type="spellEnd"/>
      <w:r w:rsidRPr="004E0901">
        <w:rPr>
          <w:rFonts w:cstheme="minorHAnsi"/>
        </w:rPr>
        <w:t>, preventive medicine services]” (</w:t>
      </w:r>
      <w:r w:rsidRPr="004E0901">
        <w:rPr>
          <w:rFonts w:cstheme="minorHAnsi"/>
          <w:i/>
        </w:rPr>
        <w:t>CPT 2019</w:t>
      </w:r>
      <w:r w:rsidRPr="004E0901">
        <w:rPr>
          <w:rFonts w:cstheme="minorHAnsi"/>
        </w:rPr>
        <w:t>, {professional edition}, page 739).</w:t>
      </w:r>
      <w:r w:rsidR="004E0901">
        <w:rPr>
          <w:rFonts w:cstheme="minorHAnsi"/>
        </w:rPr>
        <w:t xml:space="preserve"> </w:t>
      </w:r>
      <w:r w:rsidR="004E0901">
        <w:t xml:space="preserve">This definition means that tests performed at the time of an E/M encounter are not to be paid as part of the E/M service, but rather are to be paid separately. The E/M codes in CPT were valued under the Medicare RBRVS fee schedule </w:t>
      </w:r>
      <w:proofErr w:type="gramStart"/>
      <w:r w:rsidR="004E0901">
        <w:t>on the basis of</w:t>
      </w:r>
      <w:proofErr w:type="gramEnd"/>
      <w:r w:rsidR="004E0901">
        <w:t xml:space="preserve"> the CPT guidelines; these values do not include any diagnostic tests or screens.</w:t>
      </w:r>
    </w:p>
    <w:p w14:paraId="69A84A60" w14:textId="77777777" w:rsidR="004E0901" w:rsidRPr="004E0901" w:rsidRDefault="004E0901" w:rsidP="004E0901">
      <w:pPr>
        <w:pStyle w:val="ListParagraph"/>
        <w:numPr>
          <w:ilvl w:val="0"/>
          <w:numId w:val="5"/>
        </w:numPr>
        <w:rPr>
          <w:rFonts w:asciiTheme="minorHAnsi" w:hAnsiTheme="minorHAnsi" w:cstheme="minorHAnsi"/>
        </w:rPr>
      </w:pPr>
      <w:r w:rsidRPr="004E0901">
        <w:rPr>
          <w:rFonts w:asciiTheme="minorHAnsi" w:hAnsiTheme="minorHAnsi" w:cstheme="minorHAnsi"/>
        </w:rPr>
        <w:t>Those separately reportable services that are not recognized by a carrier should be designated non-covered benefits and billable to the patient.</w:t>
      </w:r>
    </w:p>
    <w:p w14:paraId="7D38EC2B" w14:textId="77777777" w:rsidR="003F2A1B" w:rsidRPr="006672C8" w:rsidRDefault="003F2A1B" w:rsidP="003F2A1B">
      <w:pPr>
        <w:pStyle w:val="ListParagraph"/>
        <w:rPr>
          <w:b/>
          <w:u w:val="single"/>
        </w:rPr>
      </w:pPr>
    </w:p>
    <w:p w14:paraId="5A328156" w14:textId="24D58C9C" w:rsidR="006672C8" w:rsidRDefault="006672C8" w:rsidP="006672C8">
      <w:r>
        <w:t>If AAP chapter</w:t>
      </w:r>
      <w:r w:rsidR="001A2F03">
        <w:t>s</w:t>
      </w:r>
      <w:r>
        <w:t xml:space="preserve"> or </w:t>
      </w:r>
      <w:r w:rsidR="001A2F03">
        <w:t xml:space="preserve">chapter </w:t>
      </w:r>
      <w:r>
        <w:t>pediatric council</w:t>
      </w:r>
      <w:r w:rsidR="001A2F03">
        <w:t>s</w:t>
      </w:r>
      <w:r>
        <w:t xml:space="preserve"> have </w:t>
      </w:r>
      <w:r w:rsidR="00894A75">
        <w:t xml:space="preserve">questions on coding for vision screening please submit to the AAP </w:t>
      </w:r>
      <w:r>
        <w:t xml:space="preserve">Coding Hotline at </w:t>
      </w:r>
      <w:hyperlink r:id="rId12" w:history="1">
        <w:r w:rsidRPr="001C48F8">
          <w:rPr>
            <w:rStyle w:val="Hyperlink"/>
          </w:rPr>
          <w:t>aapcodinghotline@aap.org</w:t>
        </w:r>
      </w:hyperlink>
      <w:r>
        <w:t xml:space="preserve">. </w:t>
      </w:r>
      <w:r w:rsidR="00894A75">
        <w:t xml:space="preserve"> To report payment issues submit to the AAP Hassle Factor Form at </w:t>
      </w:r>
      <w:hyperlink r:id="rId13" w:history="1">
        <w:r w:rsidR="002014D5" w:rsidRPr="004240CA">
          <w:rPr>
            <w:rStyle w:val="Hyperlink"/>
          </w:rPr>
          <w:t>https://www.aap.org/en-us/professional-resources/practice-transformation/getting-paid/Pages/Hassle-Factor-Form-Concerns-with-Payers.aspx</w:t>
        </w:r>
      </w:hyperlink>
    </w:p>
    <w:p w14:paraId="5B4C1C8C" w14:textId="47A7F070" w:rsidR="00B71CAA" w:rsidRDefault="00B71CAA" w:rsidP="00AC4355">
      <w:pPr>
        <w:pStyle w:val="ListParagraph"/>
        <w:ind w:left="360"/>
        <w:rPr>
          <w:rFonts w:eastAsia="Times New Roman"/>
        </w:rPr>
      </w:pPr>
    </w:p>
    <w:p w14:paraId="0AD2BD9D" w14:textId="32EBDBAA" w:rsidR="00AC4355" w:rsidRDefault="00AC4355" w:rsidP="00AC4355">
      <w:pPr>
        <w:jc w:val="center"/>
        <w:rPr>
          <w:b/>
          <w:u w:val="single"/>
        </w:rPr>
      </w:pPr>
    </w:p>
    <w:p w14:paraId="1D56E167" w14:textId="2911DB53" w:rsidR="00626061" w:rsidRDefault="00626061">
      <w:pPr>
        <w:rPr>
          <w:bCs/>
        </w:rPr>
      </w:pPr>
      <w:r>
        <w:rPr>
          <w:bCs/>
        </w:rPr>
        <w:br w:type="page"/>
      </w:r>
    </w:p>
    <w:p w14:paraId="2D17CDC1" w14:textId="57F1CDF2" w:rsidR="00626061" w:rsidRDefault="00626061" w:rsidP="00626061">
      <w:pPr>
        <w:rPr>
          <w:bCs/>
        </w:rPr>
      </w:pPr>
      <w:r w:rsidRPr="00626061">
        <w:rPr>
          <w:bCs/>
          <w:noProof/>
        </w:rPr>
        <w:lastRenderedPageBreak/>
        <w:drawing>
          <wp:inline distT="0" distB="0" distL="0" distR="0" wp14:anchorId="3FB79DA3" wp14:editId="1F5D4376">
            <wp:extent cx="5943600" cy="7649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7649210"/>
                    </a:xfrm>
                    <a:prstGeom prst="rect">
                      <a:avLst/>
                    </a:prstGeom>
                    <a:noFill/>
                    <a:ln>
                      <a:noFill/>
                    </a:ln>
                  </pic:spPr>
                </pic:pic>
              </a:graphicData>
            </a:graphic>
          </wp:inline>
        </w:drawing>
      </w:r>
    </w:p>
    <w:p w14:paraId="7276B313" w14:textId="63EB0ABE" w:rsidR="00626061" w:rsidRDefault="00626061" w:rsidP="00626061">
      <w:pPr>
        <w:rPr>
          <w:bCs/>
        </w:rPr>
      </w:pPr>
    </w:p>
    <w:p w14:paraId="4B080C51" w14:textId="0ECD4B7B" w:rsidR="00626061" w:rsidRDefault="00626061" w:rsidP="00626061">
      <w:pPr>
        <w:rPr>
          <w:bCs/>
        </w:rPr>
      </w:pPr>
    </w:p>
    <w:p w14:paraId="74D56F2B" w14:textId="56B95660" w:rsidR="00626061" w:rsidRDefault="00626061" w:rsidP="00626061">
      <w:pPr>
        <w:rPr>
          <w:bCs/>
        </w:rPr>
      </w:pPr>
    </w:p>
    <w:p w14:paraId="1F338BE0" w14:textId="1CD8D0E7" w:rsidR="00D24886" w:rsidRDefault="00D24886" w:rsidP="00626061">
      <w:pPr>
        <w:rPr>
          <w:bCs/>
        </w:rPr>
      </w:pPr>
      <w:r>
        <w:rPr>
          <w:noProof/>
        </w:rPr>
        <w:lastRenderedPageBreak/>
        <w:drawing>
          <wp:inline distT="0" distB="0" distL="0" distR="0" wp14:anchorId="44D2F34D" wp14:editId="30770659">
            <wp:extent cx="5943600" cy="65265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526530"/>
                    </a:xfrm>
                    <a:prstGeom prst="rect">
                      <a:avLst/>
                    </a:prstGeom>
                  </pic:spPr>
                </pic:pic>
              </a:graphicData>
            </a:graphic>
          </wp:inline>
        </w:drawing>
      </w:r>
    </w:p>
    <w:p w14:paraId="721F74B1" w14:textId="3135409E" w:rsidR="00626061" w:rsidRPr="00626061" w:rsidRDefault="00626061" w:rsidP="00626061">
      <w:pPr>
        <w:rPr>
          <w:bCs/>
        </w:rPr>
      </w:pPr>
      <w:bookmarkStart w:id="0" w:name="_GoBack"/>
      <w:bookmarkEnd w:id="0"/>
    </w:p>
    <w:sectPr w:rsidR="00626061" w:rsidRPr="00626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C7B"/>
    <w:multiLevelType w:val="hybridMultilevel"/>
    <w:tmpl w:val="45E84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E542B"/>
    <w:multiLevelType w:val="hybridMultilevel"/>
    <w:tmpl w:val="D53E519C"/>
    <w:lvl w:ilvl="0" w:tplc="9E56D18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C5B6565"/>
    <w:multiLevelType w:val="hybridMultilevel"/>
    <w:tmpl w:val="1AD01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E3A06"/>
    <w:multiLevelType w:val="hybridMultilevel"/>
    <w:tmpl w:val="760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E3A43"/>
    <w:multiLevelType w:val="hybridMultilevel"/>
    <w:tmpl w:val="9FA2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75696"/>
    <w:multiLevelType w:val="hybridMultilevel"/>
    <w:tmpl w:val="DAB2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71D2E"/>
    <w:multiLevelType w:val="hybridMultilevel"/>
    <w:tmpl w:val="F69AF810"/>
    <w:lvl w:ilvl="0" w:tplc="6414E2D8">
      <w:start w:val="1"/>
      <w:numFmt w:val="decimal"/>
      <w:lvlText w:val="%1."/>
      <w:lvlJc w:val="left"/>
      <w:pPr>
        <w:ind w:left="630" w:hanging="360"/>
      </w:pPr>
      <w:rPr>
        <w:rFonts w:asciiTheme="minorHAnsi" w:eastAsiaTheme="minorHAnsi" w:hAnsiTheme="minorHAnsi"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CD7898"/>
    <w:multiLevelType w:val="hybridMultilevel"/>
    <w:tmpl w:val="548872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55"/>
    <w:rsid w:val="00054D82"/>
    <w:rsid w:val="00093EF4"/>
    <w:rsid w:val="000E01D2"/>
    <w:rsid w:val="001A2F03"/>
    <w:rsid w:val="002014D5"/>
    <w:rsid w:val="00301B87"/>
    <w:rsid w:val="00391289"/>
    <w:rsid w:val="003A57A3"/>
    <w:rsid w:val="003D7E5A"/>
    <w:rsid w:val="003F2A1B"/>
    <w:rsid w:val="004A06E2"/>
    <w:rsid w:val="004E0901"/>
    <w:rsid w:val="00522114"/>
    <w:rsid w:val="00536CAD"/>
    <w:rsid w:val="005C5A58"/>
    <w:rsid w:val="00626061"/>
    <w:rsid w:val="006672C8"/>
    <w:rsid w:val="006E36B1"/>
    <w:rsid w:val="00720604"/>
    <w:rsid w:val="007C0B32"/>
    <w:rsid w:val="00894A75"/>
    <w:rsid w:val="008A2C1C"/>
    <w:rsid w:val="008E15CC"/>
    <w:rsid w:val="008F4796"/>
    <w:rsid w:val="00A359FE"/>
    <w:rsid w:val="00AC4355"/>
    <w:rsid w:val="00B04D0A"/>
    <w:rsid w:val="00B25E91"/>
    <w:rsid w:val="00B71CAA"/>
    <w:rsid w:val="00B74802"/>
    <w:rsid w:val="00B90CB9"/>
    <w:rsid w:val="00BC6E0A"/>
    <w:rsid w:val="00CE011E"/>
    <w:rsid w:val="00D10518"/>
    <w:rsid w:val="00D14BC8"/>
    <w:rsid w:val="00D20A53"/>
    <w:rsid w:val="00D24886"/>
    <w:rsid w:val="00D47E92"/>
    <w:rsid w:val="00D93A16"/>
    <w:rsid w:val="00DE3E70"/>
    <w:rsid w:val="00E1698F"/>
    <w:rsid w:val="00F820D6"/>
    <w:rsid w:val="00F8582A"/>
    <w:rsid w:val="00FE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7747"/>
  <w15:chartTrackingRefBased/>
  <w15:docId w15:val="{1D3E6F87-1023-47C2-8386-0C89B0D4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55"/>
    <w:pPr>
      <w:ind w:left="720"/>
    </w:pPr>
    <w:rPr>
      <w:rFonts w:ascii="Calibri" w:hAnsi="Calibri" w:cs="Calibri"/>
    </w:rPr>
  </w:style>
  <w:style w:type="paragraph" w:customStyle="1" w:styleId="Default">
    <w:name w:val="Default"/>
    <w:rsid w:val="00D10518"/>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rsid w:val="00D10518"/>
    <w:rPr>
      <w:color w:val="0563C1" w:themeColor="hyperlink"/>
      <w:u w:val="single"/>
    </w:rPr>
  </w:style>
  <w:style w:type="paragraph" w:styleId="BalloonText">
    <w:name w:val="Balloon Text"/>
    <w:basedOn w:val="Normal"/>
    <w:link w:val="BalloonTextChar"/>
    <w:uiPriority w:val="99"/>
    <w:semiHidden/>
    <w:unhideWhenUsed/>
    <w:rsid w:val="00DE3E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E70"/>
    <w:rPr>
      <w:rFonts w:ascii="Segoe UI" w:hAnsi="Segoe UI" w:cs="Segoe UI"/>
      <w:sz w:val="18"/>
      <w:szCs w:val="18"/>
    </w:rPr>
  </w:style>
  <w:style w:type="character" w:styleId="UnresolvedMention">
    <w:name w:val="Unresolved Mention"/>
    <w:basedOn w:val="DefaultParagraphFont"/>
    <w:uiPriority w:val="99"/>
    <w:semiHidden/>
    <w:unhideWhenUsed/>
    <w:rsid w:val="00391289"/>
    <w:rPr>
      <w:color w:val="605E5C"/>
      <w:shd w:val="clear" w:color="auto" w:fill="E1DFDD"/>
    </w:rPr>
  </w:style>
  <w:style w:type="character" w:styleId="CommentReference">
    <w:name w:val="annotation reference"/>
    <w:basedOn w:val="DefaultParagraphFont"/>
    <w:uiPriority w:val="99"/>
    <w:semiHidden/>
    <w:unhideWhenUsed/>
    <w:rsid w:val="00B04D0A"/>
    <w:rPr>
      <w:sz w:val="16"/>
      <w:szCs w:val="16"/>
    </w:rPr>
  </w:style>
  <w:style w:type="paragraph" w:styleId="CommentText">
    <w:name w:val="annotation text"/>
    <w:basedOn w:val="Normal"/>
    <w:link w:val="CommentTextChar"/>
    <w:uiPriority w:val="99"/>
    <w:semiHidden/>
    <w:unhideWhenUsed/>
    <w:rsid w:val="00B04D0A"/>
    <w:rPr>
      <w:sz w:val="20"/>
      <w:szCs w:val="20"/>
    </w:rPr>
  </w:style>
  <w:style w:type="character" w:customStyle="1" w:styleId="CommentTextChar">
    <w:name w:val="Comment Text Char"/>
    <w:basedOn w:val="DefaultParagraphFont"/>
    <w:link w:val="CommentText"/>
    <w:uiPriority w:val="99"/>
    <w:semiHidden/>
    <w:rsid w:val="00B04D0A"/>
    <w:rPr>
      <w:sz w:val="20"/>
      <w:szCs w:val="20"/>
    </w:rPr>
  </w:style>
  <w:style w:type="paragraph" w:styleId="CommentSubject">
    <w:name w:val="annotation subject"/>
    <w:basedOn w:val="CommentText"/>
    <w:next w:val="CommentText"/>
    <w:link w:val="CommentSubjectChar"/>
    <w:uiPriority w:val="99"/>
    <w:semiHidden/>
    <w:unhideWhenUsed/>
    <w:rsid w:val="00B04D0A"/>
    <w:rPr>
      <w:b/>
      <w:bCs/>
    </w:rPr>
  </w:style>
  <w:style w:type="character" w:customStyle="1" w:styleId="CommentSubjectChar">
    <w:name w:val="Comment Subject Char"/>
    <w:basedOn w:val="CommentTextChar"/>
    <w:link w:val="CommentSubject"/>
    <w:uiPriority w:val="99"/>
    <w:semiHidden/>
    <w:rsid w:val="00B04D0A"/>
    <w:rPr>
      <w:b/>
      <w:bCs/>
      <w:sz w:val="20"/>
      <w:szCs w:val="20"/>
    </w:rPr>
  </w:style>
  <w:style w:type="character" w:styleId="FollowedHyperlink">
    <w:name w:val="FollowedHyperlink"/>
    <w:basedOn w:val="DefaultParagraphFont"/>
    <w:uiPriority w:val="99"/>
    <w:semiHidden/>
    <w:unhideWhenUsed/>
    <w:rsid w:val="00B90CB9"/>
    <w:rPr>
      <w:color w:val="954F72" w:themeColor="followedHyperlink"/>
      <w:u w:val="single"/>
    </w:rPr>
  </w:style>
  <w:style w:type="character" w:styleId="Emphasis">
    <w:name w:val="Emphasis"/>
    <w:uiPriority w:val="20"/>
    <w:qFormat/>
    <w:rsid w:val="00B748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7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org/en-us/Documents/UHC_response_Vision_Screen_Dec2016.pdf" TargetMode="External"/><Relationship Id="rId13" Type="http://schemas.openxmlformats.org/officeDocument/2006/relationships/hyperlink" Target="https://www.aap.org/en-us/professional-resources/practice-transformation/getting-paid/Pages/Hassle-Factor-Form-Concerns-with-Payers.aspx"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pediatrics.org/cgi/doi/10.1542/peds.2015-3597" TargetMode="External"/><Relationship Id="rId12" Type="http://schemas.openxmlformats.org/officeDocument/2006/relationships/hyperlink" Target="mailto:aapcodinghotline@aap.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pediatrics.org/cgi/doi/10.1542/peds.2015-3596" TargetMode="External"/><Relationship Id="rId11" Type="http://schemas.openxmlformats.org/officeDocument/2006/relationships/hyperlink" Target="http://www.pediatrics.org/cgi/doi/10.1542/peds.2015-3597"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www.pediatrics.org/cgi/doi/10.1542/peds.2015-3596"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aap.org/en-us/Documents/Ltr_Vision_Screen_policy_2016.pdf"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0B507-B59D-47E4-9606-A6D2C033DB5B}"/>
</file>

<file path=customXml/itemProps2.xml><?xml version="1.0" encoding="utf-8"?>
<ds:datastoreItem xmlns:ds="http://schemas.openxmlformats.org/officeDocument/2006/customXml" ds:itemID="{0E489D1C-483A-4674-9EA3-329C288957C9}"/>
</file>

<file path=customXml/itemProps3.xml><?xml version="1.0" encoding="utf-8"?>
<ds:datastoreItem xmlns:ds="http://schemas.openxmlformats.org/officeDocument/2006/customXml" ds:itemID="{22C4EAF4-0AD0-428E-AB1D-30F20A060848}"/>
</file>

<file path=docProps/app.xml><?xml version="1.0" encoding="utf-8"?>
<Properties xmlns="http://schemas.openxmlformats.org/officeDocument/2006/extended-properties" xmlns:vt="http://schemas.openxmlformats.org/officeDocument/2006/docPropsVTypes">
  <Template>Normal</Template>
  <TotalTime>267</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Terranova, Lou</dc:creator>
  <cp:keywords/>
  <dc:description/>
  <cp:lastModifiedBy>Terranova, Lou</cp:lastModifiedBy>
  <cp:revision>9</cp:revision>
  <dcterms:created xsi:type="dcterms:W3CDTF">2019-07-31T15:32:00Z</dcterms:created>
  <dcterms:modified xsi:type="dcterms:W3CDTF">2019-09-26T16:00:00Z</dcterms:modified>
</cp:coreProperties>
</file>