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20BBD0" w14:textId="310CDC6F" w:rsidR="003D7E5A" w:rsidRPr="00ED72D8" w:rsidRDefault="009F051E" w:rsidP="009F051E">
      <w:pPr>
        <w:jc w:val="center"/>
        <w:rPr>
          <w:rFonts w:ascii="Alegreya" w:hAnsi="Alegreya"/>
        </w:rPr>
      </w:pPr>
      <w:r>
        <w:rPr>
          <w:noProof/>
        </w:rPr>
        <w:drawing>
          <wp:inline distT="0" distB="0" distL="0" distR="0" wp14:anchorId="55714BFD" wp14:editId="767D158E">
            <wp:extent cx="3473450" cy="926465"/>
            <wp:effectExtent l="114300" t="76200" r="107950" b="83185"/>
            <wp:docPr id="3" name="Picture 3" descr="https://www.aap.org/en-us/ImagesLogos/AAP-PayerAdvocacy.jpg"/>
            <wp:cNvGraphicFramePr/>
            <a:graphic xmlns:a="http://schemas.openxmlformats.org/drawingml/2006/main">
              <a:graphicData uri="http://schemas.openxmlformats.org/drawingml/2006/picture">
                <pic:pic xmlns:pic="http://schemas.openxmlformats.org/drawingml/2006/picture">
                  <pic:nvPicPr>
                    <pic:cNvPr id="2" name="Picture 2" descr="https://www.aap.org/en-us/ImagesLogos/AAP-PayerAdvocacy.jpg"/>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73450" cy="926465"/>
                    </a:xfrm>
                    <a:prstGeom prst="rect">
                      <a:avLst/>
                    </a:prstGeom>
                    <a:noFill/>
                    <a:ln>
                      <a:noFill/>
                    </a:ln>
                    <a:effectLst>
                      <a:outerShdw blurRad="63500" sx="102000" sy="102000" algn="ctr" rotWithShape="0">
                        <a:prstClr val="black">
                          <a:alpha val="40000"/>
                        </a:prstClr>
                      </a:outerShdw>
                    </a:effectLst>
                  </pic:spPr>
                </pic:pic>
              </a:graphicData>
            </a:graphic>
          </wp:inline>
        </w:drawing>
      </w:r>
    </w:p>
    <w:p w14:paraId="52D1C38C" w14:textId="2DDF4253" w:rsidR="00093A52" w:rsidRPr="009F051E" w:rsidRDefault="00093A52" w:rsidP="009F051E">
      <w:pPr>
        <w:jc w:val="center"/>
        <w:rPr>
          <w:rFonts w:eastAsia="Times New Roman" w:cstheme="minorHAnsi"/>
          <w:i/>
          <w:iCs/>
          <w:color w:val="0070C0"/>
          <w:sz w:val="44"/>
          <w:szCs w:val="44"/>
        </w:rPr>
      </w:pPr>
      <w:r w:rsidRPr="009F051E">
        <w:rPr>
          <w:rFonts w:eastAsia="Times New Roman" w:cstheme="minorHAnsi"/>
          <w:b/>
          <w:bCs/>
          <w:i/>
          <w:iCs/>
          <w:color w:val="0070C0"/>
          <w:sz w:val="44"/>
          <w:szCs w:val="44"/>
        </w:rPr>
        <w:t>Issue Guidanc</w:t>
      </w:r>
      <w:r w:rsidR="009F051E" w:rsidRPr="009F051E">
        <w:rPr>
          <w:rFonts w:eastAsia="Times New Roman" w:cstheme="minorHAnsi"/>
          <w:b/>
          <w:bCs/>
          <w:i/>
          <w:iCs/>
          <w:color w:val="0070C0"/>
          <w:sz w:val="44"/>
          <w:szCs w:val="44"/>
        </w:rPr>
        <w:t>e</w:t>
      </w:r>
    </w:p>
    <w:p w14:paraId="5447B969" w14:textId="3E59261E" w:rsidR="00093A52" w:rsidRDefault="003427BA" w:rsidP="009F051E">
      <w:pPr>
        <w:jc w:val="center"/>
        <w:rPr>
          <w:rFonts w:eastAsia="Times New Roman" w:cstheme="minorHAnsi"/>
          <w:b/>
          <w:bCs/>
          <w:i/>
          <w:iCs/>
          <w:color w:val="0070C0"/>
          <w:sz w:val="44"/>
          <w:szCs w:val="44"/>
        </w:rPr>
      </w:pPr>
      <w:r w:rsidRPr="009F051E">
        <w:rPr>
          <w:rFonts w:eastAsia="Times New Roman" w:cstheme="minorHAnsi"/>
          <w:b/>
          <w:bCs/>
          <w:i/>
          <w:iCs/>
          <w:color w:val="0070C0"/>
          <w:sz w:val="44"/>
          <w:szCs w:val="44"/>
        </w:rPr>
        <w:t>Requesting of Removal of 365-Day Preventive Medicine Service Rule</w:t>
      </w:r>
    </w:p>
    <w:p w14:paraId="7D182EFA" w14:textId="440DFFA3" w:rsidR="009F051E" w:rsidRPr="009B6F50" w:rsidRDefault="009B6F50" w:rsidP="009F051E">
      <w:pPr>
        <w:jc w:val="center"/>
        <w:rPr>
          <w:rFonts w:eastAsia="Times New Roman" w:cstheme="minorHAnsi"/>
        </w:rPr>
      </w:pPr>
      <w:r>
        <w:rPr>
          <w:rFonts w:eastAsia="Times New Roman" w:cstheme="minorHAnsi"/>
        </w:rPr>
        <w:t>5/20</w:t>
      </w:r>
    </w:p>
    <w:p w14:paraId="5EA0CC08" w14:textId="048DDB2E" w:rsidR="00093A52" w:rsidRPr="00DB1801" w:rsidRDefault="003427BA" w:rsidP="00093A52">
      <w:pPr>
        <w:spacing w:before="240" w:after="240"/>
        <w:rPr>
          <w:rFonts w:ascii="Alegreya" w:eastAsia="Times New Roman" w:hAnsi="Alegreya" w:cs="Times New Roman"/>
        </w:rPr>
      </w:pPr>
      <w:r w:rsidRPr="00DB1801">
        <w:rPr>
          <w:rFonts w:ascii="Alegreya" w:eastAsia="Times New Roman" w:hAnsi="Alegreya" w:cs="Arial"/>
          <w:b/>
          <w:bCs/>
          <w:color w:val="000000"/>
        </w:rPr>
        <w:t xml:space="preserve">Summary of </w:t>
      </w:r>
      <w:r w:rsidR="00093A52" w:rsidRPr="00DB1801">
        <w:rPr>
          <w:rFonts w:ascii="Alegreya" w:eastAsia="Times New Roman" w:hAnsi="Alegreya" w:cs="Arial"/>
          <w:b/>
          <w:bCs/>
          <w:color w:val="000000"/>
        </w:rPr>
        <w:t>Issue:</w:t>
      </w:r>
      <w:r w:rsidR="00093A52" w:rsidRPr="00DB1801">
        <w:rPr>
          <w:rFonts w:ascii="Alegreya" w:eastAsia="Times New Roman" w:hAnsi="Alegreya" w:cs="Arial"/>
          <w:color w:val="000000"/>
        </w:rPr>
        <w:t xml:space="preserve"> </w:t>
      </w:r>
      <w:r w:rsidRPr="00DB1801">
        <w:rPr>
          <w:rFonts w:ascii="Alegreya" w:eastAsia="Times New Roman" w:hAnsi="Alegreya" w:cs="Arial"/>
          <w:color w:val="000000"/>
        </w:rPr>
        <w:t>Insurance payers that</w:t>
      </w:r>
      <w:r w:rsidR="00093A52" w:rsidRPr="00DB1801">
        <w:rPr>
          <w:rFonts w:ascii="Alegreya" w:eastAsia="Times New Roman" w:hAnsi="Alegreya" w:cs="Arial"/>
          <w:color w:val="000000"/>
        </w:rPr>
        <w:t xml:space="preserve"> requir</w:t>
      </w:r>
      <w:r w:rsidRPr="00DB1801">
        <w:rPr>
          <w:rFonts w:ascii="Alegreya" w:eastAsia="Times New Roman" w:hAnsi="Alegreya" w:cs="Arial"/>
          <w:color w:val="000000"/>
        </w:rPr>
        <w:t>e a</w:t>
      </w:r>
      <w:r w:rsidR="009F051E">
        <w:rPr>
          <w:rFonts w:ascii="Alegreya" w:eastAsia="Times New Roman" w:hAnsi="Alegreya" w:cs="Arial"/>
          <w:color w:val="000000"/>
        </w:rPr>
        <w:t xml:space="preserve"> m</w:t>
      </w:r>
      <w:r w:rsidRPr="00DB1801">
        <w:rPr>
          <w:rFonts w:ascii="Alegreya" w:eastAsia="Times New Roman" w:hAnsi="Alegreya" w:cs="Arial"/>
          <w:color w:val="000000"/>
        </w:rPr>
        <w:t>inimum</w:t>
      </w:r>
      <w:r w:rsidR="00093A52" w:rsidRPr="00DB1801">
        <w:rPr>
          <w:rFonts w:ascii="Alegreya" w:eastAsia="Times New Roman" w:hAnsi="Alegreya" w:cs="Arial"/>
          <w:color w:val="000000"/>
        </w:rPr>
        <w:t xml:space="preserve"> 365 days between </w:t>
      </w:r>
      <w:r w:rsidRPr="00DB1801">
        <w:rPr>
          <w:rFonts w:ascii="Alegreya" w:eastAsia="Times New Roman" w:hAnsi="Alegreya" w:cs="Arial"/>
          <w:color w:val="000000"/>
        </w:rPr>
        <w:t>routine preventive medicine services from 4 years of age and beyond.</w:t>
      </w:r>
    </w:p>
    <w:p w14:paraId="59C03568" w14:textId="2FCA1CA5" w:rsidR="00093A52" w:rsidRPr="00DB1801" w:rsidRDefault="003427BA" w:rsidP="00093A52">
      <w:pPr>
        <w:spacing w:before="240" w:after="240"/>
        <w:rPr>
          <w:rFonts w:ascii="Alegreya" w:eastAsia="Times New Roman" w:hAnsi="Alegreya" w:cs="Times New Roman"/>
        </w:rPr>
      </w:pPr>
      <w:r w:rsidRPr="00DB1801">
        <w:rPr>
          <w:rFonts w:ascii="Alegreya" w:eastAsia="Times New Roman" w:hAnsi="Alegreya" w:cs="Arial"/>
          <w:b/>
          <w:bCs/>
          <w:color w:val="000000"/>
        </w:rPr>
        <w:t>Issue:</w:t>
      </w:r>
      <w:r w:rsidRPr="00DB1801">
        <w:rPr>
          <w:rFonts w:ascii="Alegreya" w:eastAsia="Times New Roman" w:hAnsi="Alegreya" w:cs="Arial"/>
          <w:color w:val="000000"/>
        </w:rPr>
        <w:t xml:space="preserve"> </w:t>
      </w:r>
      <w:r w:rsidR="00093A52" w:rsidRPr="00DB1801">
        <w:rPr>
          <w:rFonts w:ascii="Alegreya" w:eastAsia="Times New Roman" w:hAnsi="Alegreya" w:cs="Arial"/>
          <w:color w:val="000000"/>
        </w:rPr>
        <w:t xml:space="preserve">Pediatricians use the evidence-informed </w:t>
      </w:r>
      <w:r w:rsidR="00093A52" w:rsidRPr="00DB1801">
        <w:rPr>
          <w:rFonts w:ascii="Alegreya" w:eastAsia="Times New Roman" w:hAnsi="Alegreya" w:cs="Arial"/>
          <w:i/>
          <w:iCs/>
          <w:color w:val="000000"/>
        </w:rPr>
        <w:t xml:space="preserve">Bright Futures </w:t>
      </w:r>
      <w:r w:rsidR="007A6B89" w:rsidRPr="00DB1801">
        <w:rPr>
          <w:rFonts w:ascii="Alegreya" w:eastAsia="Times New Roman" w:hAnsi="Alegreya" w:cs="Arial"/>
          <w:i/>
          <w:iCs/>
          <w:color w:val="000000"/>
        </w:rPr>
        <w:t>Guidelines</w:t>
      </w:r>
      <w:r w:rsidR="007A6B89" w:rsidRPr="00DB1801">
        <w:rPr>
          <w:rFonts w:ascii="Alegreya" w:eastAsia="Times New Roman" w:hAnsi="Alegreya" w:cs="Arial"/>
          <w:color w:val="000000"/>
        </w:rPr>
        <w:t xml:space="preserve"> </w:t>
      </w:r>
      <w:hyperlink r:id="rId6" w:history="1">
        <w:r w:rsidR="00093A52" w:rsidRPr="00DB1801">
          <w:rPr>
            <w:rStyle w:val="Hyperlink"/>
            <w:rFonts w:ascii="Alegreya" w:eastAsia="Times New Roman" w:hAnsi="Alegreya" w:cs="Arial"/>
          </w:rPr>
          <w:t>periodicity schedule</w:t>
        </w:r>
      </w:hyperlink>
      <w:r w:rsidR="00093A52" w:rsidRPr="00DB1801">
        <w:rPr>
          <w:rFonts w:ascii="Alegreya" w:eastAsia="Times New Roman" w:hAnsi="Alegreya" w:cs="Arial"/>
          <w:color w:val="000000"/>
        </w:rPr>
        <w:t xml:space="preserve"> to provide preventive medicine services at appropriate ages. </w:t>
      </w:r>
      <w:r w:rsidR="0031499B" w:rsidRPr="00DB1801">
        <w:rPr>
          <w:rStyle w:val="ms-rtefontsize-31"/>
          <w:rFonts w:ascii="Alegreya" w:hAnsi="Alegreya" w:cs="Arial"/>
          <w:color w:val="444444"/>
          <w:sz w:val="22"/>
          <w:szCs w:val="22"/>
        </w:rPr>
        <w:t xml:space="preserve">The </w:t>
      </w:r>
      <w:r w:rsidR="0031499B" w:rsidRPr="00DB1801">
        <w:rPr>
          <w:rStyle w:val="Emphasis"/>
          <w:rFonts w:ascii="Alegreya" w:hAnsi="Alegreya" w:cs="Arial"/>
          <w:color w:val="444444"/>
        </w:rPr>
        <w:t>Bright Futures Guidelines</w:t>
      </w:r>
      <w:r w:rsidR="0031499B" w:rsidRPr="00DB1801">
        <w:rPr>
          <w:rStyle w:val="ms-rtefontsize-31"/>
          <w:rFonts w:ascii="Alegreya" w:hAnsi="Alegreya" w:cs="Arial"/>
          <w:color w:val="444444"/>
          <w:sz w:val="22"/>
          <w:szCs w:val="22"/>
        </w:rPr>
        <w:t xml:space="preserve"> provide theory-based and evidence-driven guidance for all </w:t>
      </w:r>
      <w:r w:rsidRPr="00DB1801">
        <w:rPr>
          <w:rStyle w:val="ms-rtefontsize-31"/>
          <w:rFonts w:ascii="Alegreya" w:hAnsi="Alegreya" w:cs="Arial"/>
          <w:color w:val="444444"/>
          <w:sz w:val="22"/>
          <w:szCs w:val="22"/>
        </w:rPr>
        <w:t xml:space="preserve">age-appropriate </w:t>
      </w:r>
      <w:r w:rsidR="0031499B" w:rsidRPr="00DB1801">
        <w:rPr>
          <w:rStyle w:val="ms-rtefontsize-31"/>
          <w:rFonts w:ascii="Alegreya" w:hAnsi="Alegreya" w:cs="Arial"/>
          <w:color w:val="444444"/>
          <w:sz w:val="22"/>
          <w:szCs w:val="22"/>
        </w:rPr>
        <w:t xml:space="preserve">preventive care screenings and </w:t>
      </w:r>
      <w:r w:rsidRPr="00DB1801">
        <w:rPr>
          <w:rStyle w:val="ms-rtefontsize-31"/>
          <w:rFonts w:ascii="Alegreya" w:hAnsi="Alegreya" w:cs="Arial"/>
          <w:color w:val="444444"/>
          <w:sz w:val="22"/>
          <w:szCs w:val="22"/>
        </w:rPr>
        <w:t>age-appropriate preventive medicine services</w:t>
      </w:r>
      <w:r w:rsidR="0031499B" w:rsidRPr="00DB1801">
        <w:rPr>
          <w:rStyle w:val="ms-rtefontsize-31"/>
          <w:rFonts w:ascii="Alegreya" w:hAnsi="Alegreya" w:cs="Arial"/>
          <w:color w:val="444444"/>
          <w:sz w:val="22"/>
          <w:szCs w:val="22"/>
        </w:rPr>
        <w:t>.</w:t>
      </w:r>
      <w:r w:rsidR="0031499B" w:rsidRPr="00DB1801">
        <w:rPr>
          <w:rFonts w:ascii="Alegreya" w:hAnsi="Alegreya" w:cs="Arial"/>
          <w:color w:val="333333"/>
        </w:rPr>
        <w:t xml:space="preserve"> The Bright Futures/AAP Periodicity Schedule</w:t>
      </w:r>
      <w:r w:rsidR="0031499B" w:rsidRPr="00DB1801">
        <w:rPr>
          <w:rFonts w:ascii="Times New Roman" w:hAnsi="Times New Roman" w:cs="Times New Roman"/>
          <w:color w:val="333333"/>
        </w:rPr>
        <w:t>​</w:t>
      </w:r>
      <w:r w:rsidR="0031499B" w:rsidRPr="00DB1801">
        <w:rPr>
          <w:rFonts w:ascii="Alegreya" w:hAnsi="Alegreya" w:cs="Arial"/>
          <w:color w:val="333333"/>
        </w:rPr>
        <w:t xml:space="preserve"> presents the screenings, assessments, physical examinations, procedures, and timing of anticipatory guidance recommended for each age-based visit in the </w:t>
      </w:r>
      <w:r w:rsidR="0031499B" w:rsidRPr="00DB1801">
        <w:rPr>
          <w:rStyle w:val="Emphasis"/>
          <w:rFonts w:ascii="Alegreya" w:hAnsi="Alegreya" w:cs="Arial"/>
          <w:color w:val="333333"/>
        </w:rPr>
        <w:t xml:space="preserve">Bright </w:t>
      </w:r>
      <w:r w:rsidR="0031499B" w:rsidRPr="00DB1801">
        <w:rPr>
          <w:rStyle w:val="Emphasis"/>
          <w:rFonts w:ascii="Times New Roman" w:hAnsi="Times New Roman" w:cs="Times New Roman"/>
          <w:color w:val="333333"/>
        </w:rPr>
        <w:t>​</w:t>
      </w:r>
      <w:r w:rsidR="0031499B" w:rsidRPr="00DB1801">
        <w:rPr>
          <w:rStyle w:val="Emphasis"/>
          <w:rFonts w:ascii="Alegreya" w:hAnsi="Alegreya" w:cs="Arial"/>
          <w:color w:val="333333"/>
        </w:rPr>
        <w:t>Futures Guidelines</w:t>
      </w:r>
      <w:r w:rsidR="007A6B89" w:rsidRPr="00DB1801">
        <w:rPr>
          <w:rFonts w:ascii="Alegreya" w:hAnsi="Alegreya" w:cs="Arial"/>
          <w:color w:val="333333"/>
        </w:rPr>
        <w:t>.</w:t>
      </w:r>
      <w:r w:rsidRPr="00DB1801">
        <w:rPr>
          <w:rFonts w:ascii="Alegreya" w:hAnsi="Alegreya" w:cs="Arial"/>
          <w:color w:val="333333"/>
        </w:rPr>
        <w:t xml:space="preserve"> </w:t>
      </w:r>
      <w:r w:rsidR="00093A52" w:rsidRPr="00DB1801">
        <w:rPr>
          <w:rFonts w:ascii="Alegreya" w:eastAsia="Times New Roman" w:hAnsi="Alegreya" w:cs="Arial"/>
          <w:color w:val="000000"/>
        </w:rPr>
        <w:t xml:space="preserve">The evidence upon which the periodicity schedule was based does not infer or support </w:t>
      </w:r>
      <w:r w:rsidRPr="00DB1801">
        <w:rPr>
          <w:rFonts w:ascii="Alegreya" w:eastAsia="Times New Roman" w:hAnsi="Alegreya" w:cs="Arial"/>
          <w:color w:val="000000"/>
        </w:rPr>
        <w:t xml:space="preserve">absolute </w:t>
      </w:r>
      <w:r w:rsidR="00093A52" w:rsidRPr="00DB1801">
        <w:rPr>
          <w:rFonts w:ascii="Alegreya" w:eastAsia="Times New Roman" w:hAnsi="Alegreya" w:cs="Arial"/>
          <w:color w:val="000000"/>
        </w:rPr>
        <w:t xml:space="preserve">intervals at which these visits should occur. Preventive medicine services should be provided at a time which corresponds to availability of both the family and the </w:t>
      </w:r>
      <w:r w:rsidRPr="00DB1801">
        <w:rPr>
          <w:rFonts w:ascii="Alegreya" w:eastAsia="Times New Roman" w:hAnsi="Alegreya" w:cs="Arial"/>
          <w:color w:val="000000"/>
        </w:rPr>
        <w:t xml:space="preserve">patient’s </w:t>
      </w:r>
      <w:r w:rsidR="00093A52" w:rsidRPr="00DB1801">
        <w:rPr>
          <w:rFonts w:ascii="Alegreya" w:eastAsia="Times New Roman" w:hAnsi="Alegreya" w:cs="Arial"/>
          <w:color w:val="000000"/>
        </w:rPr>
        <w:t xml:space="preserve">medical home and considers the need for other </w:t>
      </w:r>
      <w:r w:rsidRPr="00DB1801">
        <w:rPr>
          <w:rFonts w:ascii="Alegreya" w:eastAsia="Times New Roman" w:hAnsi="Alegreya" w:cs="Arial"/>
          <w:color w:val="000000"/>
        </w:rPr>
        <w:t xml:space="preserve">vital </w:t>
      </w:r>
      <w:r w:rsidR="00093A52" w:rsidRPr="00DB1801">
        <w:rPr>
          <w:rFonts w:ascii="Alegreya" w:eastAsia="Times New Roman" w:hAnsi="Alegreya" w:cs="Arial"/>
          <w:color w:val="000000"/>
        </w:rPr>
        <w:t>coordinated services. </w:t>
      </w:r>
    </w:p>
    <w:p w14:paraId="6EF2BD56" w14:textId="3226AF90" w:rsidR="00910593" w:rsidRPr="00DB1801" w:rsidRDefault="003427BA" w:rsidP="00093A52">
      <w:pPr>
        <w:spacing w:before="240" w:after="240"/>
        <w:rPr>
          <w:rFonts w:ascii="Alegreya" w:eastAsia="Times New Roman" w:hAnsi="Alegreya" w:cs="Arial"/>
          <w:color w:val="000000"/>
        </w:rPr>
      </w:pPr>
      <w:r w:rsidRPr="00DB1801">
        <w:rPr>
          <w:rFonts w:ascii="Alegreya" w:eastAsia="Times New Roman" w:hAnsi="Alegreya" w:cs="Arial"/>
          <w:b/>
          <w:bCs/>
          <w:color w:val="000000"/>
        </w:rPr>
        <w:t>Impact to Pediatricians:</w:t>
      </w:r>
      <w:r w:rsidRPr="00DB1801">
        <w:rPr>
          <w:rFonts w:ascii="Alegreya" w:eastAsia="Times New Roman" w:hAnsi="Alegreya" w:cs="Arial"/>
          <w:color w:val="000000"/>
        </w:rPr>
        <w:t xml:space="preserve"> </w:t>
      </w:r>
      <w:proofErr w:type="gramStart"/>
      <w:r w:rsidRPr="00DB1801">
        <w:rPr>
          <w:rFonts w:ascii="Alegreya" w:eastAsia="Times New Roman" w:hAnsi="Alegreya" w:cs="Arial"/>
          <w:color w:val="000000"/>
        </w:rPr>
        <w:t>Often times</w:t>
      </w:r>
      <w:proofErr w:type="gramEnd"/>
      <w:r w:rsidRPr="00DB1801">
        <w:rPr>
          <w:rFonts w:ascii="Alegreya" w:eastAsia="Times New Roman" w:hAnsi="Alegreya" w:cs="Arial"/>
          <w:color w:val="000000"/>
        </w:rPr>
        <w:t xml:space="preserve"> the medical home is asked </w:t>
      </w:r>
      <w:r w:rsidR="00910593" w:rsidRPr="00DB1801">
        <w:rPr>
          <w:rFonts w:ascii="Alegreya" w:eastAsia="Times New Roman" w:hAnsi="Alegreya" w:cs="Arial"/>
          <w:color w:val="000000"/>
        </w:rPr>
        <w:t xml:space="preserve">by parents/guardians </w:t>
      </w:r>
      <w:r w:rsidRPr="00DB1801">
        <w:rPr>
          <w:rFonts w:ascii="Alegreya" w:eastAsia="Times New Roman" w:hAnsi="Alegreya" w:cs="Arial"/>
          <w:color w:val="000000"/>
        </w:rPr>
        <w:t xml:space="preserve">to see a patient for </w:t>
      </w:r>
      <w:r w:rsidR="00910593" w:rsidRPr="00DB1801">
        <w:rPr>
          <w:rFonts w:ascii="Alegreya" w:eastAsia="Times New Roman" w:hAnsi="Alegreya" w:cs="Arial"/>
          <w:color w:val="000000"/>
        </w:rPr>
        <w:t xml:space="preserve">a “physical” </w:t>
      </w:r>
      <w:r w:rsidR="007A6B89" w:rsidRPr="00DB1801">
        <w:rPr>
          <w:rFonts w:ascii="Alegreya" w:eastAsia="Times New Roman" w:hAnsi="Alegreya" w:cs="Arial"/>
          <w:color w:val="000000"/>
        </w:rPr>
        <w:t>as a condition for participation in an event (</w:t>
      </w:r>
      <w:r w:rsidR="00B73C89">
        <w:rPr>
          <w:rFonts w:ascii="Alegreya" w:eastAsia="Times New Roman" w:hAnsi="Alegreya" w:cs="Arial"/>
          <w:color w:val="000000"/>
        </w:rPr>
        <w:t>i.</w:t>
      </w:r>
      <w:r w:rsidR="007A6B89" w:rsidRPr="00DB1801">
        <w:rPr>
          <w:rFonts w:ascii="Alegreya" w:eastAsia="Times New Roman" w:hAnsi="Alegreya" w:cs="Arial"/>
          <w:color w:val="000000"/>
        </w:rPr>
        <w:t>e</w:t>
      </w:r>
      <w:r w:rsidR="00B73C89">
        <w:rPr>
          <w:rFonts w:ascii="Alegreya" w:eastAsia="Times New Roman" w:hAnsi="Alegreya" w:cs="Arial"/>
          <w:color w:val="000000"/>
        </w:rPr>
        <w:t>.</w:t>
      </w:r>
      <w:r w:rsidR="004527E0" w:rsidRPr="00DB1801">
        <w:rPr>
          <w:rFonts w:ascii="Alegreya" w:eastAsia="Times New Roman" w:hAnsi="Alegreya" w:cs="Arial"/>
          <w:color w:val="000000"/>
        </w:rPr>
        <w:t>,</w:t>
      </w:r>
      <w:r w:rsidR="007A6B89" w:rsidRPr="00DB1801">
        <w:rPr>
          <w:rFonts w:ascii="Alegreya" w:eastAsia="Times New Roman" w:hAnsi="Alegreya" w:cs="Arial"/>
          <w:color w:val="000000"/>
        </w:rPr>
        <w:t xml:space="preserve"> </w:t>
      </w:r>
      <w:r w:rsidR="004527E0" w:rsidRPr="00DB1801">
        <w:rPr>
          <w:rFonts w:ascii="Alegreya" w:eastAsia="Times New Roman" w:hAnsi="Alegreya" w:cs="Arial"/>
          <w:color w:val="000000"/>
        </w:rPr>
        <w:t>pre-participation exam for sports</w:t>
      </w:r>
      <w:r w:rsidR="007A6B89" w:rsidRPr="00DB1801">
        <w:rPr>
          <w:rFonts w:ascii="Alegreya" w:eastAsia="Times New Roman" w:hAnsi="Alegreya" w:cs="Arial"/>
          <w:color w:val="000000"/>
        </w:rPr>
        <w:t>).</w:t>
      </w:r>
      <w:r w:rsidR="00910593" w:rsidRPr="00DB1801">
        <w:rPr>
          <w:rFonts w:ascii="Alegreya" w:eastAsia="Times New Roman" w:hAnsi="Alegreya" w:cs="Arial"/>
          <w:color w:val="000000"/>
        </w:rPr>
        <w:t xml:space="preserve"> Unfortunately, these often occur ahead of the 365-day interval for preventive services. This puts the medical home is a </w:t>
      </w:r>
      <w:r w:rsidR="009F051E">
        <w:rPr>
          <w:rFonts w:ascii="Alegreya" w:eastAsia="Times New Roman" w:hAnsi="Alegreya" w:cs="Arial"/>
          <w:color w:val="000000"/>
        </w:rPr>
        <w:t>difficult</w:t>
      </w:r>
      <w:r w:rsidR="00910593" w:rsidRPr="00DB1801">
        <w:rPr>
          <w:rFonts w:ascii="Alegreya" w:eastAsia="Times New Roman" w:hAnsi="Alegreya" w:cs="Arial"/>
          <w:color w:val="000000"/>
        </w:rPr>
        <w:t xml:space="preserve"> situation to determine how best to assist the family knowing they are not “due” yet</w:t>
      </w:r>
      <w:r w:rsidR="007A6B89" w:rsidRPr="00DB1801">
        <w:rPr>
          <w:rFonts w:ascii="Alegreya" w:eastAsia="Times New Roman" w:hAnsi="Alegreya" w:cs="Arial"/>
          <w:color w:val="000000"/>
        </w:rPr>
        <w:t xml:space="preserve"> for the well child preventive care visit</w:t>
      </w:r>
      <w:r w:rsidR="00910593" w:rsidRPr="00DB1801">
        <w:rPr>
          <w:rFonts w:ascii="Alegreya" w:eastAsia="Times New Roman" w:hAnsi="Alegreya" w:cs="Arial"/>
          <w:color w:val="000000"/>
        </w:rPr>
        <w:t xml:space="preserve">. In order to provide the best care for their patient and to keep them in the medical home, they will </w:t>
      </w:r>
      <w:r w:rsidR="009F051E">
        <w:rPr>
          <w:rFonts w:ascii="Alegreya" w:eastAsia="Times New Roman" w:hAnsi="Alegreya" w:cs="Arial"/>
          <w:color w:val="000000"/>
        </w:rPr>
        <w:t>t</w:t>
      </w:r>
      <w:r w:rsidR="00910593" w:rsidRPr="00DB1801">
        <w:rPr>
          <w:rFonts w:ascii="Alegreya" w:eastAsia="Times New Roman" w:hAnsi="Alegreya" w:cs="Arial"/>
          <w:color w:val="000000"/>
        </w:rPr>
        <w:t xml:space="preserve">ypically schedule them, but either </w:t>
      </w:r>
      <w:r w:rsidR="004527E0" w:rsidRPr="00DB1801">
        <w:rPr>
          <w:rFonts w:ascii="Alegreya" w:eastAsia="Times New Roman" w:hAnsi="Alegreya" w:cs="Arial"/>
          <w:color w:val="000000"/>
        </w:rPr>
        <w:t>must</w:t>
      </w:r>
      <w:r w:rsidR="00910593" w:rsidRPr="00DB1801">
        <w:rPr>
          <w:rFonts w:ascii="Alegreya" w:eastAsia="Times New Roman" w:hAnsi="Alegreya" w:cs="Arial"/>
          <w:color w:val="000000"/>
        </w:rPr>
        <w:t xml:space="preserve"> </w:t>
      </w:r>
      <w:r w:rsidR="009F051E">
        <w:rPr>
          <w:rFonts w:ascii="Alegreya" w:eastAsia="Times New Roman" w:hAnsi="Alegreya" w:cs="Arial"/>
          <w:color w:val="000000"/>
        </w:rPr>
        <w:t xml:space="preserve">pass on the cost of a preventive service to the family or </w:t>
      </w:r>
      <w:r w:rsidR="00910593" w:rsidRPr="00DB1801">
        <w:rPr>
          <w:rFonts w:ascii="Alegreya" w:eastAsia="Times New Roman" w:hAnsi="Alegreya" w:cs="Arial"/>
          <w:color w:val="000000"/>
        </w:rPr>
        <w:t>attempt to bill in good faith only to be denied</w:t>
      </w:r>
      <w:r w:rsidR="009F051E">
        <w:rPr>
          <w:rFonts w:ascii="Alegreya" w:eastAsia="Times New Roman" w:hAnsi="Alegreya" w:cs="Arial"/>
          <w:color w:val="000000"/>
        </w:rPr>
        <w:t xml:space="preserve"> payment for appropriate services provided</w:t>
      </w:r>
      <w:r w:rsidR="00910593" w:rsidRPr="00DB1801">
        <w:rPr>
          <w:rFonts w:ascii="Alegreya" w:eastAsia="Times New Roman" w:hAnsi="Alegreya" w:cs="Arial"/>
          <w:color w:val="000000"/>
        </w:rPr>
        <w:t xml:space="preserve">. </w:t>
      </w:r>
    </w:p>
    <w:p w14:paraId="46A39390" w14:textId="272CC437" w:rsidR="003427BA" w:rsidRPr="00DB1801" w:rsidRDefault="00093A52" w:rsidP="00093A52">
      <w:pPr>
        <w:spacing w:before="240" w:after="240"/>
        <w:rPr>
          <w:rFonts w:ascii="Alegreya" w:eastAsia="Times New Roman" w:hAnsi="Alegreya" w:cs="Arial"/>
          <w:color w:val="000000"/>
        </w:rPr>
      </w:pPr>
      <w:r w:rsidRPr="00DB1801">
        <w:rPr>
          <w:rFonts w:ascii="Alegreya" w:eastAsia="Times New Roman" w:hAnsi="Alegreya" w:cs="Arial"/>
          <w:color w:val="000000"/>
        </w:rPr>
        <w:t xml:space="preserve">For example, if a teen requires a </w:t>
      </w:r>
      <w:r w:rsidR="00910593" w:rsidRPr="00DB1801">
        <w:rPr>
          <w:rFonts w:ascii="Alegreya" w:eastAsia="Times New Roman" w:hAnsi="Alegreya" w:cs="Arial"/>
          <w:color w:val="000000"/>
        </w:rPr>
        <w:t xml:space="preserve">pre-participation exam </w:t>
      </w:r>
      <w:r w:rsidRPr="00DB1801">
        <w:rPr>
          <w:rFonts w:ascii="Alegreya" w:eastAsia="Times New Roman" w:hAnsi="Alegreya" w:cs="Arial"/>
          <w:color w:val="000000"/>
        </w:rPr>
        <w:t xml:space="preserve">or driving permit form, for convenience the practice may schedule that preventive service to coordinate an annual exam and comply with local or other time-sensitive requirements. </w:t>
      </w:r>
    </w:p>
    <w:p w14:paraId="576F3B14" w14:textId="0048D206" w:rsidR="00910593" w:rsidRPr="00DB1801" w:rsidRDefault="00910593" w:rsidP="00910593">
      <w:pPr>
        <w:spacing w:before="240" w:after="240"/>
        <w:rPr>
          <w:rFonts w:ascii="Alegreya" w:eastAsia="Times New Roman" w:hAnsi="Alegreya" w:cs="Times New Roman"/>
        </w:rPr>
      </w:pPr>
      <w:r w:rsidRPr="00DB1801">
        <w:rPr>
          <w:rFonts w:ascii="Alegreya" w:eastAsia="Times New Roman" w:hAnsi="Alegreya" w:cs="Arial"/>
          <w:color w:val="000000"/>
        </w:rPr>
        <w:t>An additional unintended consequence of a 365-day interval rule is the patient who has a well visit during the last few days of the calendar year. If they are seen over the holiday school break, each year it becomes more difficult to provide the annual exam as outlined by HEDIS calendar year requirements. </w:t>
      </w:r>
    </w:p>
    <w:p w14:paraId="3DCDC334" w14:textId="108CA3EE" w:rsidR="00093A52" w:rsidRPr="00DB1801" w:rsidRDefault="00910593" w:rsidP="00093A52">
      <w:pPr>
        <w:spacing w:before="240" w:after="240"/>
        <w:rPr>
          <w:rFonts w:ascii="Alegreya" w:eastAsia="Times New Roman" w:hAnsi="Alegreya" w:cs="Arial"/>
          <w:color w:val="000000"/>
        </w:rPr>
      </w:pPr>
      <w:r w:rsidRPr="00DB1801">
        <w:rPr>
          <w:rFonts w:ascii="Alegreya" w:eastAsia="Times New Roman" w:hAnsi="Alegreya" w:cs="Arial"/>
          <w:color w:val="000000"/>
        </w:rPr>
        <w:lastRenderedPageBreak/>
        <w:t>This is also an issue when a patient may be due for i</w:t>
      </w:r>
      <w:r w:rsidR="00093A52" w:rsidRPr="00DB1801">
        <w:rPr>
          <w:rFonts w:ascii="Alegreya" w:eastAsia="Times New Roman" w:hAnsi="Alegreya" w:cs="Arial"/>
          <w:color w:val="000000"/>
        </w:rPr>
        <w:t>mmunizations</w:t>
      </w:r>
      <w:r w:rsidRPr="00DB1801">
        <w:rPr>
          <w:rFonts w:ascii="Alegreya" w:eastAsia="Times New Roman" w:hAnsi="Alegreya" w:cs="Arial"/>
          <w:color w:val="000000"/>
        </w:rPr>
        <w:t xml:space="preserve">. While the patient may not be behind on </w:t>
      </w:r>
      <w:proofErr w:type="gramStart"/>
      <w:r w:rsidRPr="00DB1801">
        <w:rPr>
          <w:rFonts w:ascii="Alegreya" w:eastAsia="Times New Roman" w:hAnsi="Alegreya" w:cs="Arial"/>
          <w:color w:val="000000"/>
        </w:rPr>
        <w:t>their</w:t>
      </w:r>
      <w:r w:rsidR="00093A52" w:rsidRPr="00DB1801">
        <w:rPr>
          <w:rFonts w:ascii="Alegreya" w:eastAsia="Times New Roman" w:hAnsi="Alegreya" w:cs="Arial"/>
          <w:color w:val="000000"/>
        </w:rPr>
        <w:t xml:space="preserve"> </w:t>
      </w:r>
      <w:r w:rsidRPr="00DB1801">
        <w:rPr>
          <w:rFonts w:ascii="Alegreya" w:eastAsia="Times New Roman" w:hAnsi="Alegreya" w:cs="Arial"/>
          <w:color w:val="000000"/>
        </w:rPr>
        <w:t xml:space="preserve"> </w:t>
      </w:r>
      <w:r w:rsidR="00854CAD" w:rsidRPr="00DB1801">
        <w:rPr>
          <w:rFonts w:ascii="Alegreya" w:eastAsia="Times New Roman" w:hAnsi="Alegreya" w:cs="Arial"/>
          <w:color w:val="000000"/>
        </w:rPr>
        <w:t>Advisory</w:t>
      </w:r>
      <w:proofErr w:type="gramEnd"/>
      <w:r w:rsidR="00854CAD" w:rsidRPr="00DB1801">
        <w:rPr>
          <w:rFonts w:ascii="Alegreya" w:eastAsia="Times New Roman" w:hAnsi="Alegreya" w:cs="Arial"/>
          <w:color w:val="000000"/>
        </w:rPr>
        <w:t xml:space="preserve"> Committee on Immunization Practices (</w:t>
      </w:r>
      <w:r w:rsidR="00093A52" w:rsidRPr="00DB1801">
        <w:rPr>
          <w:rFonts w:ascii="Alegreya" w:eastAsia="Times New Roman" w:hAnsi="Alegreya" w:cs="Arial"/>
          <w:color w:val="000000"/>
        </w:rPr>
        <w:t>ACIP</w:t>
      </w:r>
      <w:r w:rsidR="00854CAD" w:rsidRPr="00DB1801">
        <w:rPr>
          <w:rFonts w:ascii="Alegreya" w:eastAsia="Times New Roman" w:hAnsi="Alegreya" w:cs="Arial"/>
          <w:color w:val="000000"/>
        </w:rPr>
        <w:t>)</w:t>
      </w:r>
      <w:r w:rsidR="00093A52" w:rsidRPr="00DB1801">
        <w:rPr>
          <w:rFonts w:ascii="Alegreya" w:eastAsia="Times New Roman" w:hAnsi="Alegreya" w:cs="Arial"/>
          <w:color w:val="000000"/>
        </w:rPr>
        <w:t xml:space="preserve"> schedule </w:t>
      </w:r>
      <w:r w:rsidR="00854CAD" w:rsidRPr="00DB1801">
        <w:rPr>
          <w:rFonts w:ascii="Alegreya" w:eastAsia="Times New Roman" w:hAnsi="Alegreya" w:cs="Arial"/>
          <w:color w:val="000000"/>
        </w:rPr>
        <w:t>used by the AAP, AAFP, ACOG and CDC</w:t>
      </w:r>
      <w:r w:rsidRPr="00DB1801">
        <w:rPr>
          <w:rFonts w:ascii="Alegreya" w:eastAsia="Times New Roman" w:hAnsi="Alegreya" w:cs="Arial"/>
          <w:color w:val="000000"/>
        </w:rPr>
        <w:t>, a vaccine may be required to enter school or other program. If</w:t>
      </w:r>
      <w:r w:rsidR="00093A52" w:rsidRPr="00DB1801">
        <w:rPr>
          <w:rFonts w:ascii="Alegreya" w:eastAsia="Times New Roman" w:hAnsi="Alegreya" w:cs="Arial"/>
          <w:color w:val="000000"/>
        </w:rPr>
        <w:t xml:space="preserve"> a child needs vaccines</w:t>
      </w:r>
      <w:r w:rsidRPr="00DB1801">
        <w:rPr>
          <w:rFonts w:ascii="Alegreya" w:eastAsia="Times New Roman" w:hAnsi="Alegreya" w:cs="Arial"/>
          <w:color w:val="000000"/>
        </w:rPr>
        <w:t xml:space="preserve"> </w:t>
      </w:r>
      <w:r w:rsidR="00093A52" w:rsidRPr="00DB1801">
        <w:rPr>
          <w:rFonts w:ascii="Alegreya" w:eastAsia="Times New Roman" w:hAnsi="Alegreya" w:cs="Arial"/>
          <w:color w:val="000000"/>
        </w:rPr>
        <w:t xml:space="preserve">for school </w:t>
      </w:r>
      <w:proofErr w:type="gramStart"/>
      <w:r w:rsidR="00093A52" w:rsidRPr="00DB1801">
        <w:rPr>
          <w:rFonts w:ascii="Alegreya" w:eastAsia="Times New Roman" w:hAnsi="Alegreya" w:cs="Arial"/>
          <w:color w:val="000000"/>
        </w:rPr>
        <w:t xml:space="preserve">entry, </w:t>
      </w:r>
      <w:r w:rsidRPr="00DB1801">
        <w:rPr>
          <w:rFonts w:ascii="Alegreya" w:eastAsia="Times New Roman" w:hAnsi="Alegreya" w:cs="Arial"/>
          <w:color w:val="000000"/>
        </w:rPr>
        <w:t>but</w:t>
      </w:r>
      <w:proofErr w:type="gramEnd"/>
      <w:r w:rsidRPr="00DB1801">
        <w:rPr>
          <w:rFonts w:ascii="Alegreya" w:eastAsia="Times New Roman" w:hAnsi="Alegreya" w:cs="Arial"/>
          <w:color w:val="000000"/>
        </w:rPr>
        <w:t xml:space="preserve"> is not due for a preventive medicine service due to the 356-day rule, </w:t>
      </w:r>
      <w:r w:rsidR="00093A52" w:rsidRPr="00DB1801">
        <w:rPr>
          <w:rFonts w:ascii="Alegreya" w:eastAsia="Times New Roman" w:hAnsi="Alegreya" w:cs="Arial"/>
          <w:color w:val="000000"/>
        </w:rPr>
        <w:t xml:space="preserve">a comprehensive preventive medicine service should not be delayed because </w:t>
      </w:r>
      <w:r w:rsidRPr="00DB1801">
        <w:rPr>
          <w:rFonts w:ascii="Alegreya" w:eastAsia="Times New Roman" w:hAnsi="Alegreya" w:cs="Arial"/>
          <w:color w:val="000000"/>
        </w:rPr>
        <w:t xml:space="preserve">of </w:t>
      </w:r>
      <w:r w:rsidR="009F051E">
        <w:rPr>
          <w:rFonts w:ascii="Alegreya" w:eastAsia="Times New Roman" w:hAnsi="Alegreya" w:cs="Arial"/>
          <w:color w:val="000000"/>
        </w:rPr>
        <w:t>arbitrary payer minimal intervals</w:t>
      </w:r>
      <w:r w:rsidRPr="00DB1801">
        <w:rPr>
          <w:rFonts w:ascii="Alegreya" w:eastAsia="Times New Roman" w:hAnsi="Alegreya" w:cs="Arial"/>
          <w:color w:val="000000"/>
        </w:rPr>
        <w:t xml:space="preserve">. One visit should accomplish both. </w:t>
      </w:r>
      <w:r w:rsidR="00093A52" w:rsidRPr="00DB1801">
        <w:rPr>
          <w:rFonts w:ascii="Alegreya" w:eastAsia="Times New Roman" w:hAnsi="Alegreya" w:cs="Arial"/>
          <w:color w:val="000000"/>
        </w:rPr>
        <w:t> </w:t>
      </w:r>
      <w:r w:rsidR="009F051E">
        <w:rPr>
          <w:rFonts w:ascii="Alegreya" w:eastAsia="Times New Roman" w:hAnsi="Alegreya" w:cs="Arial"/>
          <w:color w:val="000000"/>
        </w:rPr>
        <w:t>This assures appropriate care is delivered at a time which meets the individual family/patient needs and practices are appropriately paid for services provided according to AAP recommendations.</w:t>
      </w:r>
    </w:p>
    <w:p w14:paraId="0E821D05" w14:textId="6CBA077A" w:rsidR="00093A52" w:rsidRPr="00DB1801" w:rsidRDefault="00093A52" w:rsidP="00093A52">
      <w:pPr>
        <w:spacing w:before="240" w:after="240"/>
        <w:rPr>
          <w:rFonts w:ascii="Alegreya" w:eastAsia="Times New Roman" w:hAnsi="Alegreya" w:cs="Times New Roman"/>
        </w:rPr>
      </w:pPr>
      <w:r w:rsidRPr="00DB1801">
        <w:rPr>
          <w:rFonts w:ascii="Alegreya" w:eastAsia="Times New Roman" w:hAnsi="Alegreya" w:cs="Arial"/>
          <w:b/>
          <w:bCs/>
          <w:color w:val="000000"/>
        </w:rPr>
        <w:t>Impact to Patients/Families:</w:t>
      </w:r>
      <w:r w:rsidR="00910593" w:rsidRPr="00DB1801">
        <w:rPr>
          <w:rFonts w:ascii="Alegreya" w:eastAsia="Times New Roman" w:hAnsi="Alegreya" w:cs="Arial"/>
          <w:b/>
          <w:bCs/>
          <w:color w:val="000000"/>
        </w:rPr>
        <w:t xml:space="preserve">  </w:t>
      </w:r>
      <w:r w:rsidRPr="00DB1801">
        <w:rPr>
          <w:rFonts w:ascii="Alegreya" w:eastAsia="Times New Roman" w:hAnsi="Alegreya" w:cs="Arial"/>
          <w:color w:val="000000"/>
        </w:rPr>
        <w:t>Families' lives are busy, complex</w:t>
      </w:r>
      <w:r w:rsidR="004527E0" w:rsidRPr="00DB1801">
        <w:rPr>
          <w:rFonts w:ascii="Alegreya" w:eastAsia="Times New Roman" w:hAnsi="Alegreya" w:cs="Arial"/>
          <w:color w:val="000000"/>
        </w:rPr>
        <w:t>,</w:t>
      </w:r>
      <w:r w:rsidRPr="00DB1801">
        <w:rPr>
          <w:rFonts w:ascii="Alegreya" w:eastAsia="Times New Roman" w:hAnsi="Alegreya" w:cs="Arial"/>
          <w:color w:val="000000"/>
        </w:rPr>
        <w:t xml:space="preserve"> and coordinating an appropriate time for preventive services in the medical home should be facilitated without arbitrary barriers. Patients may miss opportunities for appropriate preventive services according to the periodicity schedule if there are unnecessary constraints placed on timing of services. They may also seek care outside the medical home for convenience of form completion or other requirements which may cause them to miss comprehensive services and further fragment care.</w:t>
      </w:r>
      <w:r w:rsidR="00910593" w:rsidRPr="00DB1801">
        <w:rPr>
          <w:rFonts w:ascii="Alegreya" w:eastAsia="Times New Roman" w:hAnsi="Alegreya" w:cs="Arial"/>
          <w:color w:val="000000"/>
        </w:rPr>
        <w:t xml:space="preserve"> This is particularly concerning for the pre-participation exam. </w:t>
      </w:r>
      <w:r w:rsidRPr="00DB1801">
        <w:rPr>
          <w:rFonts w:ascii="Alegreya" w:eastAsia="Times New Roman" w:hAnsi="Alegreya" w:cs="Arial"/>
          <w:color w:val="000000"/>
        </w:rPr>
        <w:t> </w:t>
      </w:r>
    </w:p>
    <w:p w14:paraId="30A00D14" w14:textId="1BF84D3F" w:rsidR="00093A52" w:rsidRPr="00DB1801" w:rsidRDefault="00910593" w:rsidP="00093A52">
      <w:pPr>
        <w:spacing w:before="240" w:after="240"/>
        <w:rPr>
          <w:rFonts w:ascii="Alegreya" w:eastAsia="Times New Roman" w:hAnsi="Alegreya" w:cs="Times New Roman"/>
        </w:rPr>
      </w:pPr>
      <w:r w:rsidRPr="00DB1801">
        <w:rPr>
          <w:rFonts w:ascii="Alegreya" w:eastAsia="Times New Roman" w:hAnsi="Alegreya" w:cs="Arial"/>
          <w:b/>
          <w:bCs/>
          <w:color w:val="000000"/>
        </w:rPr>
        <w:t>Recommendations</w:t>
      </w:r>
      <w:r w:rsidR="00CE561F" w:rsidRPr="00DB1801">
        <w:rPr>
          <w:rFonts w:ascii="Alegreya" w:eastAsia="Times New Roman" w:hAnsi="Alegreya" w:cs="Arial"/>
          <w:b/>
          <w:bCs/>
          <w:color w:val="000000"/>
        </w:rPr>
        <w:t xml:space="preserve"> to Practices</w:t>
      </w:r>
      <w:r w:rsidRPr="00DB1801">
        <w:rPr>
          <w:rFonts w:ascii="Alegreya" w:eastAsia="Times New Roman" w:hAnsi="Alegreya" w:cs="Arial"/>
          <w:b/>
          <w:bCs/>
          <w:color w:val="000000"/>
        </w:rPr>
        <w:t>:</w:t>
      </w:r>
    </w:p>
    <w:p w14:paraId="07227DF4" w14:textId="0CD6E05F" w:rsidR="00093A52" w:rsidRPr="00DB1801" w:rsidRDefault="00093A52" w:rsidP="00AD2513">
      <w:pPr>
        <w:pStyle w:val="ListParagraph"/>
        <w:numPr>
          <w:ilvl w:val="0"/>
          <w:numId w:val="3"/>
        </w:numPr>
        <w:spacing w:before="240" w:after="240"/>
        <w:rPr>
          <w:rFonts w:ascii="Alegreya" w:eastAsia="Times New Roman" w:hAnsi="Alegreya" w:cs="Arial"/>
          <w:color w:val="000000"/>
        </w:rPr>
      </w:pPr>
      <w:r w:rsidRPr="00DB1801">
        <w:rPr>
          <w:rFonts w:ascii="Alegreya" w:eastAsia="Times New Roman" w:hAnsi="Alegreya" w:cs="Arial"/>
          <w:color w:val="000000"/>
        </w:rPr>
        <w:t>Get documentation from the payer on their rules regarding timing of well visits/preventive services.</w:t>
      </w:r>
    </w:p>
    <w:p w14:paraId="7CAAE5EC" w14:textId="4E994B68" w:rsidR="00AD2513" w:rsidRPr="00DB1801" w:rsidRDefault="00AD2513" w:rsidP="004527E0">
      <w:pPr>
        <w:pStyle w:val="ListParagraph"/>
        <w:spacing w:before="240" w:after="240"/>
        <w:rPr>
          <w:rFonts w:ascii="Alegreya" w:eastAsia="Times New Roman" w:hAnsi="Alegreya" w:cs="Arial"/>
          <w:color w:val="000000"/>
        </w:rPr>
      </w:pPr>
      <w:r w:rsidRPr="00DB1801">
        <w:rPr>
          <w:rFonts w:ascii="Alegreya" w:eastAsia="Times New Roman" w:hAnsi="Alegreya" w:cs="Times New Roman"/>
        </w:rPr>
        <w:t xml:space="preserve">2.   If the plan has the 365-day interval for preventive medicine services, advocate for the removal. </w:t>
      </w:r>
    </w:p>
    <w:p w14:paraId="1EFEEE7D" w14:textId="48533B9E" w:rsidR="00093A52" w:rsidRPr="00DB1801" w:rsidRDefault="00093A52" w:rsidP="004527E0">
      <w:pPr>
        <w:pStyle w:val="ListParagraph"/>
        <w:numPr>
          <w:ilvl w:val="0"/>
          <w:numId w:val="4"/>
        </w:numPr>
        <w:spacing w:before="240" w:after="240"/>
        <w:rPr>
          <w:rFonts w:ascii="Alegreya" w:eastAsia="Times New Roman" w:hAnsi="Alegreya" w:cs="Times New Roman"/>
        </w:rPr>
      </w:pPr>
      <w:r w:rsidRPr="00DB1801">
        <w:rPr>
          <w:rFonts w:ascii="Alegreya" w:eastAsia="Times New Roman" w:hAnsi="Alegreya" w:cs="Arial"/>
          <w:color w:val="000000"/>
        </w:rPr>
        <w:t xml:space="preserve">If this is a </w:t>
      </w:r>
      <w:r w:rsidR="00854CAD" w:rsidRPr="00DB1801">
        <w:rPr>
          <w:rFonts w:ascii="Alegreya" w:eastAsia="Times New Roman" w:hAnsi="Alegreya" w:cs="Arial"/>
          <w:color w:val="000000"/>
        </w:rPr>
        <w:t xml:space="preserve">self-insured plan administered by a </w:t>
      </w:r>
      <w:r w:rsidRPr="00DB1801">
        <w:rPr>
          <w:rFonts w:ascii="Alegreya" w:eastAsia="Times New Roman" w:hAnsi="Alegreya" w:cs="Arial"/>
          <w:color w:val="000000"/>
        </w:rPr>
        <w:t xml:space="preserve">third party </w:t>
      </w:r>
      <w:r w:rsidR="00854CAD" w:rsidRPr="00DB1801">
        <w:rPr>
          <w:rFonts w:ascii="Alegreya" w:eastAsia="Times New Roman" w:hAnsi="Alegreya" w:cs="Arial"/>
          <w:color w:val="000000"/>
        </w:rPr>
        <w:t>(</w:t>
      </w:r>
      <w:proofErr w:type="spellStart"/>
      <w:r w:rsidR="00854CAD" w:rsidRPr="00DB1801">
        <w:rPr>
          <w:rFonts w:ascii="Alegreya" w:eastAsia="Times New Roman" w:hAnsi="Alegreya" w:cs="Arial"/>
          <w:color w:val="000000"/>
        </w:rPr>
        <w:t>ie</w:t>
      </w:r>
      <w:proofErr w:type="spellEnd"/>
      <w:r w:rsidR="00854CAD" w:rsidRPr="00DB1801">
        <w:rPr>
          <w:rFonts w:ascii="Alegreya" w:eastAsia="Times New Roman" w:hAnsi="Alegreya" w:cs="Arial"/>
          <w:color w:val="000000"/>
        </w:rPr>
        <w:t>, TPA</w:t>
      </w:r>
      <w:proofErr w:type="gramStart"/>
      <w:r w:rsidR="00854CAD" w:rsidRPr="00DB1801">
        <w:rPr>
          <w:rFonts w:ascii="Alegreya" w:eastAsia="Times New Roman" w:hAnsi="Alegreya" w:cs="Arial"/>
          <w:color w:val="000000"/>
        </w:rPr>
        <w:t xml:space="preserve">) </w:t>
      </w:r>
      <w:r w:rsidRPr="00DB1801">
        <w:rPr>
          <w:rFonts w:ascii="Alegreya" w:eastAsia="Times New Roman" w:hAnsi="Alegreya" w:cs="Arial"/>
          <w:color w:val="000000"/>
        </w:rPr>
        <w:t>,</w:t>
      </w:r>
      <w:proofErr w:type="gramEnd"/>
      <w:r w:rsidRPr="00DB1801">
        <w:rPr>
          <w:rFonts w:ascii="Alegreya" w:eastAsia="Times New Roman" w:hAnsi="Alegreya" w:cs="Arial"/>
          <w:color w:val="000000"/>
        </w:rPr>
        <w:t xml:space="preserve"> consider contacting the employer directly, if they are well known to the practice. Also empower the family to reach out to the employer and coordinate advocacy efforts. Use </w:t>
      </w:r>
      <w:hyperlink r:id="rId7" w:history="1">
        <w:r w:rsidRPr="00DB1801">
          <w:rPr>
            <w:rFonts w:ascii="Alegreya" w:eastAsia="Times New Roman" w:hAnsi="Alegreya" w:cs="Arial"/>
            <w:color w:val="1155CC"/>
            <w:u w:val="single"/>
          </w:rPr>
          <w:t>Recommendations for Preventive Pediatric Healthcare</w:t>
        </w:r>
      </w:hyperlink>
      <w:r w:rsidRPr="00DB1801">
        <w:rPr>
          <w:rFonts w:ascii="Alegreya" w:eastAsia="Times New Roman" w:hAnsi="Alegreya" w:cs="Arial"/>
          <w:color w:val="000000"/>
        </w:rPr>
        <w:t xml:space="preserve"> periodicity schedule in your advocacy efforts. If this is a state Medicaid plan, partner with your AAP State Chapter and/or Pediatric Council in your efforts</w:t>
      </w:r>
      <w:r w:rsidR="00910593" w:rsidRPr="00DB1801">
        <w:rPr>
          <w:rFonts w:ascii="Alegreya" w:eastAsia="Times New Roman" w:hAnsi="Alegreya" w:cs="Arial"/>
          <w:color w:val="000000"/>
        </w:rPr>
        <w:t xml:space="preserve"> to ensure that the state Medicaid plan does not limit preventive medicine services to one per 365-days for those patients 4 years and older</w:t>
      </w:r>
      <w:r w:rsidRPr="00DB1801">
        <w:rPr>
          <w:rFonts w:ascii="Alegreya" w:eastAsia="Times New Roman" w:hAnsi="Alegreya" w:cs="Arial"/>
          <w:color w:val="000000"/>
        </w:rPr>
        <w:t>.</w:t>
      </w:r>
    </w:p>
    <w:p w14:paraId="134B20E9" w14:textId="2C84E487" w:rsidR="00CE561F" w:rsidRPr="00DB1801" w:rsidRDefault="00AD2513" w:rsidP="00CE561F">
      <w:pPr>
        <w:rPr>
          <w:rFonts w:ascii="Alegreya" w:eastAsia="Times New Roman" w:hAnsi="Alegreya" w:cs="Times New Roman"/>
        </w:rPr>
      </w:pPr>
      <w:r w:rsidRPr="00DB1801">
        <w:rPr>
          <w:rFonts w:ascii="Alegreya" w:eastAsia="Times New Roman" w:hAnsi="Alegreya" w:cs="Times New Roman"/>
        </w:rPr>
        <w:t>All advocacy efforts should center around removing the 365-day rule and implementing the calendar year rule. This will align with HEDIS measures in addition to helping families get the needed without the worry or unnecessary costs.</w:t>
      </w:r>
    </w:p>
    <w:p w14:paraId="013FE1EB" w14:textId="77777777" w:rsidR="00CE561F" w:rsidRPr="00DB1801" w:rsidRDefault="00CE561F" w:rsidP="00CE561F">
      <w:pPr>
        <w:rPr>
          <w:rFonts w:ascii="Alegreya" w:eastAsia="Times New Roman" w:hAnsi="Alegreya" w:cs="Times New Roman"/>
        </w:rPr>
      </w:pPr>
    </w:p>
    <w:p w14:paraId="75316B9E" w14:textId="538579D7" w:rsidR="00CE561F" w:rsidRPr="00DB1801" w:rsidRDefault="00CE561F" w:rsidP="00093A52">
      <w:pPr>
        <w:rPr>
          <w:rFonts w:ascii="Alegreya" w:eastAsia="Times New Roman" w:hAnsi="Alegreya" w:cs="Times New Roman"/>
        </w:rPr>
      </w:pPr>
      <w:r w:rsidRPr="00DB1801">
        <w:rPr>
          <w:rFonts w:ascii="Alegreya" w:hAnsi="Alegreya"/>
          <w:noProof/>
        </w:rPr>
        <mc:AlternateContent>
          <mc:Choice Requires="wps">
            <w:drawing>
              <wp:anchor distT="0" distB="0" distL="114300" distR="114300" simplePos="0" relativeHeight="251659264" behindDoc="0" locked="0" layoutInCell="1" allowOverlap="1" wp14:anchorId="42A012DC" wp14:editId="12004F07">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F4537C4" w14:textId="77777777" w:rsidR="00CE561F" w:rsidRPr="00FC2871" w:rsidRDefault="00CE561F" w:rsidP="00CE561F">
                            <w:pPr>
                              <w:shd w:val="clear" w:color="auto" w:fill="F2F2F2" w:themeFill="background1" w:themeFillShade="F2"/>
                              <w:rPr>
                                <w:rFonts w:ascii="Alegreya" w:hAnsi="Alegreya"/>
                                <w:sz w:val="24"/>
                                <w:szCs w:val="24"/>
                              </w:rPr>
                            </w:pPr>
                            <w:r w:rsidRPr="00CE561F">
                              <w:rPr>
                                <w:rFonts w:ascii="Alegreya" w:hAnsi="Alegreya"/>
                                <w:sz w:val="24"/>
                                <w:szCs w:val="24"/>
                              </w:rPr>
                              <w:t xml:space="preserve">Public Health Emergency (PHE) Consideration: Following the conclusion of a PHE, insurance payers should allow for additional Preventive Medicine Service (PMS) visits beyond limits imposed during non-PHE periods. Additional PMS visits could be designated with the CR (Catastrophe/Disaster-Related) modifier to allow system override for a designated </w:t>
                            </w:r>
                            <w:proofErr w:type="gramStart"/>
                            <w:r w:rsidRPr="00CE561F">
                              <w:rPr>
                                <w:rFonts w:ascii="Alegreya" w:hAnsi="Alegreya"/>
                                <w:sz w:val="24"/>
                                <w:szCs w:val="24"/>
                              </w:rPr>
                              <w:t>period of time</w:t>
                            </w:r>
                            <w:proofErr w:type="gramEnd"/>
                            <w:r w:rsidRPr="00CE561F">
                              <w:rPr>
                                <w:rFonts w:ascii="Alegreya" w:hAnsi="Alegreya"/>
                                <w:sz w:val="24"/>
                                <w:szCs w:val="24"/>
                              </w:rPr>
                              <w:t xml:space="preserve"> following the conclusion of a PHE.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2A012DC" id="_x0000_t202" coordsize="21600,21600" o:spt="202" path="m,l,21600r21600,l21600,xe">
                <v:stroke joinstyle="miter"/>
                <v:path gradientshapeok="t" o:connecttype="rect"/>
              </v:shapetype>
              <v:shape id="Text Box 1"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" filled="f" strokeweight=".5pt">
                <v:textbox style="mso-fit-shape-to-text:t">
                  <w:txbxContent>
                    <w:p w14:paraId="7F4537C4" w14:textId="77777777" w:rsidR="00CE561F" w:rsidRPr="00FC2871" w:rsidRDefault="00CE561F" w:rsidP="00CE561F">
                      <w:pPr>
                        <w:shd w:val="clear" w:color="auto" w:fill="F2F2F2" w:themeFill="background1" w:themeFillShade="F2"/>
                        <w:rPr>
                          <w:rFonts w:ascii="Alegreya" w:hAnsi="Alegreya"/>
                          <w:sz w:val="24"/>
                          <w:szCs w:val="24"/>
                        </w:rPr>
                      </w:pPr>
                      <w:r w:rsidRPr="00CE561F">
                        <w:rPr>
                          <w:rFonts w:ascii="Alegreya" w:hAnsi="Alegreya"/>
                          <w:sz w:val="24"/>
                          <w:szCs w:val="24"/>
                        </w:rPr>
                        <w:t>Public Health Emergency (PHE) Consideration: Following the conclusion of a PHE, insurance payers should allow for additional Preventive Medicine Service (PMS) visits beyond limits imposed during non-PHE periods. Additional PMS visits could be designated with the CR (Catastrophe/Disaster-Related) modifier to allow system override for a designated period of time following the conclusion of a PHE.</w:t>
                      </w:r>
                    </w:p>
                  </w:txbxContent>
                </v:textbox>
                <w10:wrap type="square"/>
              </v:shape>
            </w:pict>
          </mc:Fallback>
        </mc:AlternateContent>
      </w:r>
    </w:p>
    <w:p w14:paraId="06C29CFC" w14:textId="77777777" w:rsidR="009B6F50" w:rsidRDefault="009B6F50" w:rsidP="00093A52">
      <w:pPr>
        <w:spacing w:before="240" w:after="240"/>
        <w:rPr>
          <w:rFonts w:ascii="Alegreya" w:eastAsia="Times New Roman" w:hAnsi="Alegreya" w:cs="Arial"/>
          <w:b/>
          <w:bCs/>
          <w:color w:val="000000"/>
        </w:rPr>
      </w:pPr>
    </w:p>
    <w:p w14:paraId="3E34257B" w14:textId="6814F331" w:rsidR="00093A52" w:rsidRPr="00DB1801" w:rsidRDefault="00093A52" w:rsidP="00093A52">
      <w:pPr>
        <w:spacing w:before="240" w:after="240"/>
        <w:rPr>
          <w:rFonts w:ascii="Alegreya" w:eastAsia="Times New Roman" w:hAnsi="Alegreya" w:cs="Times New Roman"/>
        </w:rPr>
      </w:pPr>
      <w:r w:rsidRPr="00DB1801">
        <w:rPr>
          <w:rFonts w:ascii="Alegreya" w:eastAsia="Times New Roman" w:hAnsi="Alegreya" w:cs="Arial"/>
          <w:b/>
          <w:bCs/>
          <w:color w:val="000000"/>
        </w:rPr>
        <w:lastRenderedPageBreak/>
        <w:t>Key Takeaways:</w:t>
      </w:r>
    </w:p>
    <w:p w14:paraId="718EBE2A" w14:textId="77777777" w:rsidR="00093A52" w:rsidRPr="00DB1801" w:rsidRDefault="00093A52" w:rsidP="00093A52">
      <w:pPr>
        <w:spacing w:before="240" w:after="240"/>
        <w:rPr>
          <w:rFonts w:ascii="Alegreya" w:eastAsia="Times New Roman" w:hAnsi="Alegreya" w:cs="Times New Roman"/>
        </w:rPr>
      </w:pPr>
      <w:r w:rsidRPr="00DB1801">
        <w:rPr>
          <w:rFonts w:ascii="Alegreya" w:eastAsia="Times New Roman" w:hAnsi="Alegreya" w:cs="Arial"/>
          <w:color w:val="000000"/>
        </w:rPr>
        <w:t>1. Verify arbitrary or timing rules for intervals between well visits and ask for documentation. </w:t>
      </w:r>
    </w:p>
    <w:p w14:paraId="0C225356" w14:textId="77777777" w:rsidR="00093A52" w:rsidRPr="00DB1801" w:rsidRDefault="00093A52" w:rsidP="00093A52">
      <w:pPr>
        <w:spacing w:before="240" w:after="240"/>
        <w:rPr>
          <w:rFonts w:ascii="Alegreya" w:eastAsia="Times New Roman" w:hAnsi="Alegreya" w:cs="Times New Roman"/>
        </w:rPr>
      </w:pPr>
      <w:r w:rsidRPr="00DB1801">
        <w:rPr>
          <w:rFonts w:ascii="Alegreya" w:eastAsia="Times New Roman" w:hAnsi="Alegreya" w:cs="Arial"/>
          <w:color w:val="000000"/>
        </w:rPr>
        <w:t>2. Point out that there is no interval inferred or included in the AAP Recommendations for Preventive Pediatric Health according to Bright Futures and there is no scientific evidence to support arbitrary timing requirements. </w:t>
      </w:r>
    </w:p>
    <w:p w14:paraId="1BE3CA4F" w14:textId="77777777" w:rsidR="00093A52" w:rsidRPr="00DB1801" w:rsidRDefault="00093A52" w:rsidP="00093A52">
      <w:pPr>
        <w:spacing w:before="240" w:after="240"/>
        <w:rPr>
          <w:rFonts w:ascii="Alegreya" w:eastAsia="Times New Roman" w:hAnsi="Alegreya" w:cs="Times New Roman"/>
        </w:rPr>
      </w:pPr>
      <w:r w:rsidRPr="00DB1801">
        <w:rPr>
          <w:rFonts w:ascii="Alegreya" w:eastAsia="Times New Roman" w:hAnsi="Alegreya" w:cs="Arial"/>
          <w:color w:val="000000"/>
        </w:rPr>
        <w:t>3. Point out that timing rules create additional unnecessary barriers for patients to receive comprehensive preventive services and may result in missed opportunities to receive appropriate care including timely immunizations. </w:t>
      </w:r>
    </w:p>
    <w:p w14:paraId="0CD4F7CB" w14:textId="77777777" w:rsidR="00093A52" w:rsidRPr="00DB1801" w:rsidRDefault="00093A52" w:rsidP="00093A52">
      <w:pPr>
        <w:spacing w:before="240" w:after="240"/>
        <w:rPr>
          <w:rFonts w:ascii="Alegreya" w:eastAsia="Times New Roman" w:hAnsi="Alegreya" w:cs="Times New Roman"/>
        </w:rPr>
      </w:pPr>
      <w:r w:rsidRPr="00DB1801">
        <w:rPr>
          <w:rFonts w:ascii="Alegreya" w:eastAsia="Times New Roman" w:hAnsi="Alegreya" w:cs="Arial"/>
          <w:color w:val="000000"/>
        </w:rPr>
        <w:t xml:space="preserve">4. Point out that timing rules negatively impact </w:t>
      </w:r>
      <w:proofErr w:type="spellStart"/>
      <w:r w:rsidRPr="00DB1801">
        <w:rPr>
          <w:rFonts w:ascii="Alegreya" w:eastAsia="Times New Roman" w:hAnsi="Alegreya" w:cs="Arial"/>
          <w:color w:val="000000"/>
        </w:rPr>
        <w:t>payer</w:t>
      </w:r>
      <w:proofErr w:type="spellEnd"/>
      <w:r w:rsidRPr="00DB1801">
        <w:rPr>
          <w:rFonts w:ascii="Alegreya" w:eastAsia="Times New Roman" w:hAnsi="Alegreya" w:cs="Arial"/>
          <w:color w:val="000000"/>
        </w:rPr>
        <w:t xml:space="preserve"> and practice performance on HEDIS well care measures. </w:t>
      </w:r>
    </w:p>
    <w:p w14:paraId="07C2CFAC" w14:textId="77777777" w:rsidR="004106A8" w:rsidRPr="00DB1801" w:rsidRDefault="004106A8">
      <w:pPr>
        <w:rPr>
          <w:rFonts w:ascii="Alegreya" w:eastAsia="Times New Roman" w:hAnsi="Alegreya" w:cs="Times New Roman"/>
          <w:b/>
          <w:bCs/>
        </w:rPr>
      </w:pPr>
    </w:p>
    <w:p w14:paraId="57A5B8B9" w14:textId="77777777" w:rsidR="004106A8" w:rsidRPr="00DB1801" w:rsidRDefault="004106A8" w:rsidP="004106A8">
      <w:pPr>
        <w:rPr>
          <w:rFonts w:ascii="Alegreya" w:hAnsi="Alegreya"/>
        </w:rPr>
      </w:pPr>
      <w:r w:rsidRPr="00DB1801">
        <w:rPr>
          <w:rFonts w:ascii="Alegreya" w:hAnsi="Alegreya"/>
        </w:rPr>
        <w:t>AAP Resources</w:t>
      </w:r>
    </w:p>
    <w:p w14:paraId="0BAC76BD" w14:textId="77777777" w:rsidR="004106A8" w:rsidRPr="00DB1801" w:rsidRDefault="004106A8" w:rsidP="004106A8">
      <w:pPr>
        <w:pStyle w:val="ListParagraph"/>
        <w:numPr>
          <w:ilvl w:val="0"/>
          <w:numId w:val="2"/>
        </w:numPr>
        <w:rPr>
          <w:rFonts w:ascii="Alegreya" w:hAnsi="Alegreya"/>
        </w:rPr>
      </w:pPr>
      <w:r w:rsidRPr="00DB1801">
        <w:rPr>
          <w:rFonts w:ascii="Alegreya" w:eastAsia="Times New Roman" w:hAnsi="Alegreya" w:cs="Arial"/>
          <w:color w:val="000000"/>
        </w:rPr>
        <w:t xml:space="preserve">AAP Recommendations for Preventive Pediatric Health </w:t>
      </w:r>
      <w:r w:rsidRPr="00DB1801">
        <w:rPr>
          <w:rFonts w:ascii="Alegreya" w:hAnsi="Alegreya" w:cs="Arial"/>
          <w:color w:val="333333"/>
        </w:rPr>
        <w:t>(also referred to as the </w:t>
      </w:r>
      <w:hyperlink r:id="rId8" w:tgtFrame="_blank" w:history="1">
        <w:r w:rsidRPr="00DB1801">
          <w:rPr>
            <w:rFonts w:ascii="Alegreya" w:hAnsi="Alegreya" w:cs="Arial"/>
            <w:color w:val="048BC9"/>
          </w:rPr>
          <w:t>Bright Futures/AAP Periodicity Schedule</w:t>
        </w:r>
        <w:r w:rsidRPr="00DB1801">
          <w:rPr>
            <w:rFonts w:ascii="Times New Roman" w:hAnsi="Times New Roman" w:cs="Times New Roman"/>
            <w:color w:val="048BC9"/>
          </w:rPr>
          <w:t>​</w:t>
        </w:r>
      </w:hyperlink>
      <w:r w:rsidRPr="00DB1801">
        <w:rPr>
          <w:rFonts w:ascii="Alegreya" w:hAnsi="Alegreya" w:cs="Arial"/>
          <w:color w:val="333333"/>
        </w:rPr>
        <w:t>),</w:t>
      </w:r>
    </w:p>
    <w:p w14:paraId="7253E8DB" w14:textId="77777777" w:rsidR="004106A8" w:rsidRPr="00DB1801" w:rsidRDefault="004E3EEA" w:rsidP="004106A8">
      <w:pPr>
        <w:pStyle w:val="ListParagraph"/>
        <w:numPr>
          <w:ilvl w:val="0"/>
          <w:numId w:val="2"/>
        </w:numPr>
        <w:rPr>
          <w:rFonts w:ascii="Alegreya" w:hAnsi="Alegreya"/>
        </w:rPr>
      </w:pPr>
      <w:hyperlink r:id="rId9" w:history="1">
        <w:r w:rsidR="004106A8" w:rsidRPr="00DB1801">
          <w:rPr>
            <w:rStyle w:val="Hyperlink"/>
            <w:rFonts w:ascii="Alegreya" w:eastAsia="Times New Roman" w:hAnsi="Alegreya" w:cs="Arial"/>
          </w:rPr>
          <w:t>Bright Futures Guidelines</w:t>
        </w:r>
      </w:hyperlink>
    </w:p>
    <w:p w14:paraId="1818FC3E" w14:textId="40063AE2" w:rsidR="004106A8" w:rsidRPr="004E3EEA" w:rsidRDefault="004E3EEA" w:rsidP="009F69D7">
      <w:pPr>
        <w:pStyle w:val="ListParagraph"/>
        <w:numPr>
          <w:ilvl w:val="0"/>
          <w:numId w:val="2"/>
        </w:numPr>
        <w:rPr>
          <w:rStyle w:val="Hyperlink"/>
          <w:rFonts w:ascii="Alegreya" w:hAnsi="Alegreya"/>
          <w:color w:val="auto"/>
          <w:u w:val="none"/>
        </w:rPr>
      </w:pPr>
      <w:hyperlink r:id="rId10" w:history="1">
        <w:r w:rsidR="004106A8" w:rsidRPr="004E3EEA">
          <w:rPr>
            <w:rStyle w:val="Hyperlink"/>
            <w:rFonts w:ascii="Alegreya" w:eastAsia="Times New Roman" w:hAnsi="Alegreya" w:cs="Arial"/>
          </w:rPr>
          <w:t>Immunization Sc</w:t>
        </w:r>
        <w:r w:rsidR="004106A8" w:rsidRPr="004E3EEA">
          <w:rPr>
            <w:rStyle w:val="Hyperlink"/>
            <w:rFonts w:ascii="Alegreya" w:eastAsia="Times New Roman" w:hAnsi="Alegreya" w:cs="Arial"/>
          </w:rPr>
          <w:t>h</w:t>
        </w:r>
        <w:r w:rsidR="004106A8" w:rsidRPr="004E3EEA">
          <w:rPr>
            <w:rStyle w:val="Hyperlink"/>
            <w:rFonts w:ascii="Alegreya" w:eastAsia="Times New Roman" w:hAnsi="Alegreya" w:cs="Arial"/>
          </w:rPr>
          <w:t>edule</w:t>
        </w:r>
      </w:hyperlink>
    </w:p>
    <w:sectPr w:rsidR="004106A8" w:rsidRPr="004E3E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500">
    <w:altName w:val="Calibri"/>
    <w:charset w:val="00"/>
    <w:family w:val="auto"/>
    <w:pitch w:val="default"/>
  </w:font>
  <w:font w:name="Segoe UI Semilight">
    <w:panose1 w:val="020B04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Alegreya">
    <w:altName w:val="Times New Roman"/>
    <w:panose1 w:val="02000503050000020004"/>
    <w:charset w:val="00"/>
    <w:family w:val="auto"/>
    <w:pitch w:val="variable"/>
    <w:sig w:usb0="A00000EF" w:usb1="4000204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001E2E"/>
    <w:multiLevelType w:val="hybridMultilevel"/>
    <w:tmpl w:val="B73892B6"/>
    <w:lvl w:ilvl="0" w:tplc="4CD2A920">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5209660A"/>
    <w:multiLevelType w:val="multilevel"/>
    <w:tmpl w:val="C1F6A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A463BC"/>
    <w:multiLevelType w:val="hybridMultilevel"/>
    <w:tmpl w:val="7BB69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2B48A6"/>
    <w:multiLevelType w:val="hybridMultilevel"/>
    <w:tmpl w:val="98FA37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58334A"/>
    <w:multiLevelType w:val="hybridMultilevel"/>
    <w:tmpl w:val="A3C08B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A52"/>
    <w:rsid w:val="00032F15"/>
    <w:rsid w:val="00093A52"/>
    <w:rsid w:val="00116258"/>
    <w:rsid w:val="0031499B"/>
    <w:rsid w:val="003427BA"/>
    <w:rsid w:val="003D7E5A"/>
    <w:rsid w:val="004106A8"/>
    <w:rsid w:val="004527E0"/>
    <w:rsid w:val="004E3EEA"/>
    <w:rsid w:val="007A6B89"/>
    <w:rsid w:val="008025D4"/>
    <w:rsid w:val="0083273D"/>
    <w:rsid w:val="00854CAD"/>
    <w:rsid w:val="00910593"/>
    <w:rsid w:val="009B6F50"/>
    <w:rsid w:val="009F051E"/>
    <w:rsid w:val="00AD2513"/>
    <w:rsid w:val="00B73C89"/>
    <w:rsid w:val="00C63D35"/>
    <w:rsid w:val="00C949A2"/>
    <w:rsid w:val="00CE561F"/>
    <w:rsid w:val="00DB1801"/>
    <w:rsid w:val="00ED7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7228C"/>
  <w15:chartTrackingRefBased/>
  <w15:docId w15:val="{4258FB42-2330-48F4-962A-DDD18AC75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54CAD"/>
    <w:pPr>
      <w:spacing w:after="225" w:line="288" w:lineRule="atLeast"/>
      <w:outlineLvl w:val="2"/>
    </w:pPr>
    <w:rPr>
      <w:rFonts w:ascii="Museo-500" w:eastAsia="Times New Roman" w:hAnsi="Museo-500" w:cs="Segoe UI Semilight"/>
      <w:color w:val="01589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3A52"/>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93A52"/>
    <w:rPr>
      <w:color w:val="0000FF"/>
      <w:u w:val="single"/>
    </w:rPr>
  </w:style>
  <w:style w:type="character" w:customStyle="1" w:styleId="ms-rtefontsize-31">
    <w:name w:val="ms-rtefontsize-31"/>
    <w:basedOn w:val="DefaultParagraphFont"/>
    <w:rsid w:val="0031499B"/>
    <w:rPr>
      <w:sz w:val="26"/>
      <w:szCs w:val="26"/>
    </w:rPr>
  </w:style>
  <w:style w:type="character" w:styleId="Emphasis">
    <w:name w:val="Emphasis"/>
    <w:basedOn w:val="DefaultParagraphFont"/>
    <w:uiPriority w:val="20"/>
    <w:qFormat/>
    <w:rsid w:val="0031499B"/>
    <w:rPr>
      <w:i/>
      <w:iCs/>
    </w:rPr>
  </w:style>
  <w:style w:type="paragraph" w:styleId="BalloonText">
    <w:name w:val="Balloon Text"/>
    <w:basedOn w:val="Normal"/>
    <w:link w:val="BalloonTextChar"/>
    <w:uiPriority w:val="99"/>
    <w:semiHidden/>
    <w:unhideWhenUsed/>
    <w:rsid w:val="003149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99B"/>
    <w:rPr>
      <w:rFonts w:ascii="Segoe UI" w:hAnsi="Segoe UI" w:cs="Segoe UI"/>
      <w:sz w:val="18"/>
      <w:szCs w:val="18"/>
    </w:rPr>
  </w:style>
  <w:style w:type="character" w:customStyle="1" w:styleId="Heading3Char">
    <w:name w:val="Heading 3 Char"/>
    <w:basedOn w:val="DefaultParagraphFont"/>
    <w:link w:val="Heading3"/>
    <w:uiPriority w:val="9"/>
    <w:rsid w:val="00854CAD"/>
    <w:rPr>
      <w:rFonts w:ascii="Museo-500" w:eastAsia="Times New Roman" w:hAnsi="Museo-500" w:cs="Segoe UI Semilight"/>
      <w:color w:val="01589B"/>
      <w:sz w:val="24"/>
      <w:szCs w:val="24"/>
    </w:rPr>
  </w:style>
  <w:style w:type="paragraph" w:customStyle="1" w:styleId="clearfix">
    <w:name w:val="clearfix"/>
    <w:basedOn w:val="Normal"/>
    <w:rsid w:val="00854CAD"/>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854CAD"/>
    <w:pPr>
      <w:ind w:left="720"/>
      <w:contextualSpacing/>
    </w:pPr>
  </w:style>
  <w:style w:type="character" w:customStyle="1" w:styleId="UnresolvedMention1">
    <w:name w:val="Unresolved Mention1"/>
    <w:basedOn w:val="DefaultParagraphFont"/>
    <w:uiPriority w:val="99"/>
    <w:semiHidden/>
    <w:unhideWhenUsed/>
    <w:rsid w:val="00854CAD"/>
    <w:rPr>
      <w:color w:val="605E5C"/>
      <w:shd w:val="clear" w:color="auto" w:fill="E1DFDD"/>
    </w:rPr>
  </w:style>
  <w:style w:type="character" w:styleId="CommentReference">
    <w:name w:val="annotation reference"/>
    <w:basedOn w:val="DefaultParagraphFont"/>
    <w:uiPriority w:val="99"/>
    <w:semiHidden/>
    <w:unhideWhenUsed/>
    <w:rsid w:val="007A6B89"/>
    <w:rPr>
      <w:sz w:val="16"/>
      <w:szCs w:val="16"/>
    </w:rPr>
  </w:style>
  <w:style w:type="paragraph" w:styleId="CommentText">
    <w:name w:val="annotation text"/>
    <w:basedOn w:val="Normal"/>
    <w:link w:val="CommentTextChar"/>
    <w:uiPriority w:val="99"/>
    <w:semiHidden/>
    <w:unhideWhenUsed/>
    <w:rsid w:val="007A6B89"/>
    <w:rPr>
      <w:sz w:val="20"/>
      <w:szCs w:val="20"/>
    </w:rPr>
  </w:style>
  <w:style w:type="character" w:customStyle="1" w:styleId="CommentTextChar">
    <w:name w:val="Comment Text Char"/>
    <w:basedOn w:val="DefaultParagraphFont"/>
    <w:link w:val="CommentText"/>
    <w:uiPriority w:val="99"/>
    <w:semiHidden/>
    <w:rsid w:val="007A6B89"/>
    <w:rPr>
      <w:sz w:val="20"/>
      <w:szCs w:val="20"/>
    </w:rPr>
  </w:style>
  <w:style w:type="paragraph" w:styleId="CommentSubject">
    <w:name w:val="annotation subject"/>
    <w:basedOn w:val="CommentText"/>
    <w:next w:val="CommentText"/>
    <w:link w:val="CommentSubjectChar"/>
    <w:uiPriority w:val="99"/>
    <w:semiHidden/>
    <w:unhideWhenUsed/>
    <w:rsid w:val="007A6B89"/>
    <w:rPr>
      <w:b/>
      <w:bCs/>
    </w:rPr>
  </w:style>
  <w:style w:type="character" w:customStyle="1" w:styleId="CommentSubjectChar">
    <w:name w:val="Comment Subject Char"/>
    <w:basedOn w:val="CommentTextChar"/>
    <w:link w:val="CommentSubject"/>
    <w:uiPriority w:val="99"/>
    <w:semiHidden/>
    <w:rsid w:val="007A6B89"/>
    <w:rPr>
      <w:b/>
      <w:bCs/>
      <w:sz w:val="20"/>
      <w:szCs w:val="20"/>
    </w:rPr>
  </w:style>
  <w:style w:type="character" w:styleId="FollowedHyperlink">
    <w:name w:val="FollowedHyperlink"/>
    <w:basedOn w:val="DefaultParagraphFont"/>
    <w:uiPriority w:val="99"/>
    <w:semiHidden/>
    <w:unhideWhenUsed/>
    <w:rsid w:val="004E3E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17896">
      <w:bodyDiv w:val="1"/>
      <w:marLeft w:val="0"/>
      <w:marRight w:val="0"/>
      <w:marTop w:val="0"/>
      <w:marBottom w:val="0"/>
      <w:divBdr>
        <w:top w:val="none" w:sz="0" w:space="0" w:color="auto"/>
        <w:left w:val="none" w:sz="0" w:space="0" w:color="auto"/>
        <w:bottom w:val="none" w:sz="0" w:space="0" w:color="auto"/>
        <w:right w:val="none" w:sz="0" w:space="0" w:color="auto"/>
      </w:divBdr>
    </w:div>
    <w:div w:id="1156917516">
      <w:bodyDiv w:val="1"/>
      <w:marLeft w:val="0"/>
      <w:marRight w:val="0"/>
      <w:marTop w:val="0"/>
      <w:marBottom w:val="0"/>
      <w:divBdr>
        <w:top w:val="none" w:sz="0" w:space="0" w:color="auto"/>
        <w:left w:val="none" w:sz="0" w:space="0" w:color="auto"/>
        <w:bottom w:val="none" w:sz="0" w:space="0" w:color="auto"/>
        <w:right w:val="none" w:sz="0" w:space="0" w:color="auto"/>
      </w:divBdr>
    </w:div>
    <w:div w:id="1350371485">
      <w:bodyDiv w:val="1"/>
      <w:marLeft w:val="0"/>
      <w:marRight w:val="0"/>
      <w:marTop w:val="0"/>
      <w:marBottom w:val="0"/>
      <w:divBdr>
        <w:top w:val="none" w:sz="0" w:space="0" w:color="auto"/>
        <w:left w:val="none" w:sz="0" w:space="0" w:color="auto"/>
        <w:bottom w:val="none" w:sz="0" w:space="0" w:color="auto"/>
        <w:right w:val="none" w:sz="0" w:space="0" w:color="auto"/>
      </w:divBdr>
      <w:divsChild>
        <w:div w:id="1546989280">
          <w:marLeft w:val="0"/>
          <w:marRight w:val="0"/>
          <w:marTop w:val="0"/>
          <w:marBottom w:val="0"/>
          <w:divBdr>
            <w:top w:val="none" w:sz="0" w:space="0" w:color="auto"/>
            <w:left w:val="none" w:sz="0" w:space="0" w:color="auto"/>
            <w:bottom w:val="none" w:sz="0" w:space="0" w:color="auto"/>
            <w:right w:val="none" w:sz="0" w:space="0" w:color="auto"/>
          </w:divBdr>
          <w:divsChild>
            <w:div w:id="417291249">
              <w:marLeft w:val="0"/>
              <w:marRight w:val="0"/>
              <w:marTop w:val="0"/>
              <w:marBottom w:val="0"/>
              <w:divBdr>
                <w:top w:val="none" w:sz="0" w:space="0" w:color="auto"/>
                <w:left w:val="none" w:sz="0" w:space="0" w:color="auto"/>
                <w:bottom w:val="none" w:sz="0" w:space="0" w:color="auto"/>
                <w:right w:val="none" w:sz="0" w:space="0" w:color="auto"/>
              </w:divBdr>
              <w:divsChild>
                <w:div w:id="1853379057">
                  <w:marLeft w:val="0"/>
                  <w:marRight w:val="0"/>
                  <w:marTop w:val="0"/>
                  <w:marBottom w:val="0"/>
                  <w:divBdr>
                    <w:top w:val="none" w:sz="0" w:space="0" w:color="auto"/>
                    <w:left w:val="none" w:sz="0" w:space="0" w:color="auto"/>
                    <w:bottom w:val="none" w:sz="0" w:space="0" w:color="auto"/>
                    <w:right w:val="none" w:sz="0" w:space="0" w:color="auto"/>
                  </w:divBdr>
                  <w:divsChild>
                    <w:div w:id="556093832">
                      <w:marLeft w:val="0"/>
                      <w:marRight w:val="0"/>
                      <w:marTop w:val="0"/>
                      <w:marBottom w:val="0"/>
                      <w:divBdr>
                        <w:top w:val="none" w:sz="0" w:space="0" w:color="auto"/>
                        <w:left w:val="none" w:sz="0" w:space="0" w:color="auto"/>
                        <w:bottom w:val="none" w:sz="0" w:space="0" w:color="auto"/>
                        <w:right w:val="none" w:sz="0" w:space="0" w:color="auto"/>
                      </w:divBdr>
                      <w:divsChild>
                        <w:div w:id="1329556575">
                          <w:marLeft w:val="0"/>
                          <w:marRight w:val="0"/>
                          <w:marTop w:val="0"/>
                          <w:marBottom w:val="0"/>
                          <w:divBdr>
                            <w:top w:val="none" w:sz="0" w:space="0" w:color="auto"/>
                            <w:left w:val="none" w:sz="0" w:space="0" w:color="auto"/>
                            <w:bottom w:val="none" w:sz="0" w:space="0" w:color="auto"/>
                            <w:right w:val="none" w:sz="0" w:space="0" w:color="auto"/>
                          </w:divBdr>
                          <w:divsChild>
                            <w:div w:id="1465275120">
                              <w:marLeft w:val="0"/>
                              <w:marRight w:val="0"/>
                              <w:marTop w:val="0"/>
                              <w:marBottom w:val="0"/>
                              <w:divBdr>
                                <w:top w:val="none" w:sz="0" w:space="0" w:color="auto"/>
                                <w:left w:val="none" w:sz="0" w:space="0" w:color="auto"/>
                                <w:bottom w:val="none" w:sz="0" w:space="0" w:color="auto"/>
                                <w:right w:val="none" w:sz="0" w:space="0" w:color="auto"/>
                              </w:divBdr>
                              <w:divsChild>
                                <w:div w:id="1092169310">
                                  <w:marLeft w:val="0"/>
                                  <w:marRight w:val="0"/>
                                  <w:marTop w:val="0"/>
                                  <w:marBottom w:val="0"/>
                                  <w:divBdr>
                                    <w:top w:val="none" w:sz="0" w:space="0" w:color="auto"/>
                                    <w:left w:val="none" w:sz="0" w:space="0" w:color="auto"/>
                                    <w:bottom w:val="none" w:sz="0" w:space="0" w:color="auto"/>
                                    <w:right w:val="none" w:sz="0" w:space="0" w:color="auto"/>
                                  </w:divBdr>
                                  <w:divsChild>
                                    <w:div w:id="1554807775">
                                      <w:marLeft w:val="0"/>
                                      <w:marRight w:val="0"/>
                                      <w:marTop w:val="0"/>
                                      <w:marBottom w:val="0"/>
                                      <w:divBdr>
                                        <w:top w:val="none" w:sz="0" w:space="0" w:color="auto"/>
                                        <w:left w:val="none" w:sz="0" w:space="0" w:color="auto"/>
                                        <w:bottom w:val="none" w:sz="0" w:space="0" w:color="auto"/>
                                        <w:right w:val="none" w:sz="0" w:space="0" w:color="auto"/>
                                      </w:divBdr>
                                      <w:divsChild>
                                        <w:div w:id="1802379282">
                                          <w:marLeft w:val="0"/>
                                          <w:marRight w:val="0"/>
                                          <w:marTop w:val="0"/>
                                          <w:marBottom w:val="0"/>
                                          <w:divBdr>
                                            <w:top w:val="none" w:sz="0" w:space="0" w:color="auto"/>
                                            <w:left w:val="none" w:sz="0" w:space="0" w:color="auto"/>
                                            <w:bottom w:val="none" w:sz="0" w:space="0" w:color="auto"/>
                                            <w:right w:val="none" w:sz="0" w:space="0" w:color="auto"/>
                                          </w:divBdr>
                                          <w:divsChild>
                                            <w:div w:id="1841770609">
                                              <w:marLeft w:val="0"/>
                                              <w:marRight w:val="0"/>
                                              <w:marTop w:val="0"/>
                                              <w:marBottom w:val="0"/>
                                              <w:divBdr>
                                                <w:top w:val="none" w:sz="0" w:space="0" w:color="auto"/>
                                                <w:left w:val="none" w:sz="0" w:space="0" w:color="auto"/>
                                                <w:bottom w:val="none" w:sz="0" w:space="0" w:color="auto"/>
                                                <w:right w:val="none" w:sz="0" w:space="0" w:color="auto"/>
                                              </w:divBdr>
                                              <w:divsChild>
                                                <w:div w:id="436288739">
                                                  <w:marLeft w:val="0"/>
                                                  <w:marRight w:val="0"/>
                                                  <w:marTop w:val="0"/>
                                                  <w:marBottom w:val="0"/>
                                                  <w:divBdr>
                                                    <w:top w:val="none" w:sz="0" w:space="0" w:color="auto"/>
                                                    <w:left w:val="none" w:sz="0" w:space="0" w:color="auto"/>
                                                    <w:bottom w:val="none" w:sz="0" w:space="0" w:color="auto"/>
                                                    <w:right w:val="none" w:sz="0" w:space="0" w:color="auto"/>
                                                  </w:divBdr>
                                                  <w:divsChild>
                                                    <w:div w:id="2058577674">
                                                      <w:marLeft w:val="0"/>
                                                      <w:marRight w:val="0"/>
                                                      <w:marTop w:val="0"/>
                                                      <w:marBottom w:val="0"/>
                                                      <w:divBdr>
                                                        <w:top w:val="none" w:sz="0" w:space="0" w:color="auto"/>
                                                        <w:left w:val="none" w:sz="0" w:space="0" w:color="auto"/>
                                                        <w:bottom w:val="none" w:sz="0" w:space="0" w:color="auto"/>
                                                        <w:right w:val="none" w:sz="0" w:space="0" w:color="auto"/>
                                                      </w:divBdr>
                                                      <w:divsChild>
                                                        <w:div w:id="550114198">
                                                          <w:marLeft w:val="0"/>
                                                          <w:marRight w:val="0"/>
                                                          <w:marTop w:val="0"/>
                                                          <w:marBottom w:val="0"/>
                                                          <w:divBdr>
                                                            <w:top w:val="none" w:sz="0" w:space="0" w:color="auto"/>
                                                            <w:left w:val="none" w:sz="0" w:space="0" w:color="auto"/>
                                                            <w:bottom w:val="none" w:sz="0" w:space="0" w:color="auto"/>
                                                            <w:right w:val="none" w:sz="0" w:space="0" w:color="auto"/>
                                                          </w:divBdr>
                                                          <w:divsChild>
                                                            <w:div w:id="830028368">
                                                              <w:marLeft w:val="0"/>
                                                              <w:marRight w:val="0"/>
                                                              <w:marTop w:val="0"/>
                                                              <w:marBottom w:val="0"/>
                                                              <w:divBdr>
                                                                <w:top w:val="none" w:sz="0" w:space="0" w:color="auto"/>
                                                                <w:left w:val="none" w:sz="0" w:space="0" w:color="auto"/>
                                                                <w:bottom w:val="none" w:sz="0" w:space="0" w:color="auto"/>
                                                                <w:right w:val="none" w:sz="0" w:space="0" w:color="auto"/>
                                                              </w:divBdr>
                                                              <w:divsChild>
                                                                <w:div w:id="2102332371">
                                                                  <w:marLeft w:val="0"/>
                                                                  <w:marRight w:val="0"/>
                                                                  <w:marTop w:val="0"/>
                                                                  <w:marBottom w:val="0"/>
                                                                  <w:divBdr>
                                                                    <w:top w:val="none" w:sz="0" w:space="0" w:color="auto"/>
                                                                    <w:left w:val="none" w:sz="0" w:space="0" w:color="auto"/>
                                                                    <w:bottom w:val="none" w:sz="0" w:space="0" w:color="auto"/>
                                                                    <w:right w:val="none" w:sz="0" w:space="0" w:color="auto"/>
                                                                  </w:divBdr>
                                                                  <w:divsChild>
                                                                    <w:div w:id="24938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ap.org/en-us/Documents/periodicity_schedule.pdf"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downloads.aap.org/AAP/PDF/periodicity_schedule.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wnloads.aap.org/AAP/PDF/periodicity_schedule.pdf" TargetMode="External"/><Relationship Id="rId11"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customXml" Target="../customXml/item3.xml"/><Relationship Id="rId10" Type="http://schemas.openxmlformats.org/officeDocument/2006/relationships/hyperlink" Target="https://www.aap.org/en-us/advocacy-and-policy/aap-health-initiatives/immunizations/Pages/Immunization-Schedule.aspx" TargetMode="External"/><Relationship Id="rId4" Type="http://schemas.openxmlformats.org/officeDocument/2006/relationships/webSettings" Target="webSettings.xml"/><Relationship Id="rId9" Type="http://schemas.openxmlformats.org/officeDocument/2006/relationships/hyperlink" Target="https://brightfutures.aap.org/about/Pages/About.aspx"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8C7FA5-8106-448B-8692-E2947BF5F2C6}"/>
</file>

<file path=customXml/itemProps2.xml><?xml version="1.0" encoding="utf-8"?>
<ds:datastoreItem xmlns:ds="http://schemas.openxmlformats.org/officeDocument/2006/customXml" ds:itemID="{A793F24D-6994-4B2F-B9BB-66F83D9CD076}"/>
</file>

<file path=customXml/itemProps3.xml><?xml version="1.0" encoding="utf-8"?>
<ds:datastoreItem xmlns:ds="http://schemas.openxmlformats.org/officeDocument/2006/customXml" ds:itemID="{1DF48CAB-C87D-464A-A762-FDEA32DB5823}"/>
</file>

<file path=docProps/app.xml><?xml version="1.0" encoding="utf-8"?>
<Properties xmlns="http://schemas.openxmlformats.org/officeDocument/2006/extended-properties" xmlns:vt="http://schemas.openxmlformats.org/officeDocument/2006/docPropsVTypes">
  <Template>Normal</Template>
  <TotalTime>5</TotalTime>
  <Pages>3</Pages>
  <Words>918</Words>
  <Characters>5235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Terranova, Lou</dc:creator>
  <cp:keywords/>
  <dc:description/>
  <cp:lastModifiedBy>Terranova, Lou</cp:lastModifiedBy>
  <cp:revision>4</cp:revision>
  <dcterms:created xsi:type="dcterms:W3CDTF">2020-05-01T15:31:00Z</dcterms:created>
  <dcterms:modified xsi:type="dcterms:W3CDTF">2020-05-07T14:12:00Z</dcterms:modified>
</cp:coreProperties>
</file>