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F0A51" w14:textId="77777777" w:rsidR="002558BB" w:rsidRDefault="002558BB" w:rsidP="002558BB">
      <w:pPr>
        <w:spacing w:before="240" w:after="240"/>
        <w:jc w:val="center"/>
        <w:rPr>
          <w:rFonts w:ascii="Alegreya" w:eastAsia="Times New Roman" w:hAnsi="Alegreya" w:cs="Arial"/>
          <w:b/>
          <w:bCs/>
          <w:color w:val="000000"/>
          <w:sz w:val="28"/>
          <w:szCs w:val="28"/>
        </w:rPr>
      </w:pPr>
      <w:r>
        <w:rPr>
          <w:noProof/>
        </w:rPr>
        <w:drawing>
          <wp:inline distT="0" distB="0" distL="0" distR="0" wp14:anchorId="78D09E24" wp14:editId="764FCF79">
            <wp:extent cx="3473450" cy="926465"/>
            <wp:effectExtent l="114300" t="76200" r="107950" b="83185"/>
            <wp:docPr id="2" name="Picture 2" descr="https://www.aap.org/en-us/ImagesLogos/AAP-PayerAdvocacy.jpg"/>
            <wp:cNvGraphicFramePr/>
            <a:graphic xmlns:a="http://schemas.openxmlformats.org/drawingml/2006/main">
              <a:graphicData uri="http://schemas.openxmlformats.org/drawingml/2006/picture">
                <pic:pic xmlns:pic="http://schemas.openxmlformats.org/drawingml/2006/picture">
                  <pic:nvPicPr>
                    <pic:cNvPr id="2" name="Picture 2" descr="https://www.aap.org/en-us/ImagesLogos/AAP-PayerAdvocacy.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3450" cy="926465"/>
                    </a:xfrm>
                    <a:prstGeom prst="rect">
                      <a:avLst/>
                    </a:prstGeom>
                    <a:noFill/>
                    <a:ln>
                      <a:noFill/>
                    </a:ln>
                    <a:effectLst>
                      <a:outerShdw blurRad="63500" sx="102000" sy="102000" algn="ctr" rotWithShape="0">
                        <a:prstClr val="black">
                          <a:alpha val="40000"/>
                        </a:prstClr>
                      </a:outerShdw>
                    </a:effectLst>
                  </pic:spPr>
                </pic:pic>
              </a:graphicData>
            </a:graphic>
          </wp:inline>
        </w:drawing>
      </w:r>
    </w:p>
    <w:p w14:paraId="322B8C9C" w14:textId="77777777" w:rsidR="002558BB" w:rsidRPr="009B6F50" w:rsidRDefault="002558BB" w:rsidP="002558BB">
      <w:pPr>
        <w:jc w:val="center"/>
        <w:rPr>
          <w:rFonts w:eastAsia="Times New Roman" w:cstheme="minorHAnsi"/>
          <w:i/>
          <w:iCs/>
          <w:color w:val="0070C0"/>
          <w:sz w:val="44"/>
          <w:szCs w:val="44"/>
        </w:rPr>
      </w:pPr>
      <w:r w:rsidRPr="009B6F50">
        <w:rPr>
          <w:rFonts w:eastAsia="Times New Roman" w:cstheme="minorHAnsi"/>
          <w:b/>
          <w:bCs/>
          <w:i/>
          <w:iCs/>
          <w:color w:val="0070C0"/>
          <w:sz w:val="44"/>
          <w:szCs w:val="44"/>
        </w:rPr>
        <w:t>Issue Guidance</w:t>
      </w:r>
    </w:p>
    <w:p w14:paraId="4BBE0594" w14:textId="77777777" w:rsidR="002558BB" w:rsidRDefault="002558BB" w:rsidP="002558BB">
      <w:pPr>
        <w:jc w:val="center"/>
        <w:rPr>
          <w:rFonts w:eastAsia="Times New Roman" w:cstheme="minorHAnsi"/>
          <w:b/>
          <w:bCs/>
          <w:i/>
          <w:iCs/>
          <w:color w:val="0070C0"/>
          <w:sz w:val="44"/>
          <w:szCs w:val="44"/>
        </w:rPr>
      </w:pPr>
      <w:r w:rsidRPr="009B6F50">
        <w:rPr>
          <w:rFonts w:eastAsia="Times New Roman" w:cstheme="minorHAnsi"/>
          <w:b/>
          <w:bCs/>
          <w:i/>
          <w:iCs/>
          <w:color w:val="0070C0"/>
          <w:sz w:val="44"/>
          <w:szCs w:val="44"/>
        </w:rPr>
        <w:t>Payer Requirements for Preventive Medicine Service Upon Enrollment</w:t>
      </w:r>
    </w:p>
    <w:p w14:paraId="53E8CE7D" w14:textId="77777777" w:rsidR="002558BB" w:rsidRDefault="002558BB" w:rsidP="002558BB">
      <w:pPr>
        <w:jc w:val="center"/>
        <w:rPr>
          <w:rFonts w:eastAsia="Times New Roman" w:cstheme="minorHAnsi"/>
        </w:rPr>
      </w:pPr>
      <w:r>
        <w:rPr>
          <w:rFonts w:eastAsia="Times New Roman" w:cstheme="minorHAnsi"/>
        </w:rPr>
        <w:t>5/20</w:t>
      </w:r>
    </w:p>
    <w:p w14:paraId="25467571" w14:textId="77777777" w:rsidR="002558BB" w:rsidRDefault="002558BB" w:rsidP="002558BB">
      <w:pPr>
        <w:jc w:val="center"/>
        <w:rPr>
          <w:rFonts w:eastAsia="Times New Roman" w:cstheme="minorHAnsi"/>
        </w:rPr>
      </w:pPr>
    </w:p>
    <w:p w14:paraId="1B143656" w14:textId="77777777" w:rsidR="002558BB" w:rsidRPr="009B6F50" w:rsidRDefault="002558BB" w:rsidP="002558BB">
      <w:pPr>
        <w:jc w:val="center"/>
        <w:rPr>
          <w:rFonts w:eastAsia="Times New Roman" w:cstheme="minorHAnsi"/>
        </w:rPr>
      </w:pPr>
    </w:p>
    <w:p w14:paraId="71754340" w14:textId="77777777" w:rsidR="002558BB" w:rsidRPr="00DB1801" w:rsidRDefault="002558BB" w:rsidP="002558BB">
      <w:pPr>
        <w:rPr>
          <w:rFonts w:ascii="Alegreya" w:eastAsia="Times New Roman" w:hAnsi="Alegreya" w:cs="Times New Roman"/>
        </w:rPr>
      </w:pPr>
      <w:r w:rsidRPr="00DB1801">
        <w:rPr>
          <w:rFonts w:ascii="Alegreya" w:eastAsia="Times New Roman" w:hAnsi="Alegreya" w:cs="Times New Roman"/>
          <w:b/>
          <w:bCs/>
        </w:rPr>
        <w:t>Issue:</w:t>
      </w:r>
      <w:r w:rsidRPr="00DB1801">
        <w:rPr>
          <w:rFonts w:ascii="Alegreya" w:eastAsia="Times New Roman" w:hAnsi="Alegreya" w:cs="Times New Roman"/>
        </w:rPr>
        <w:t xml:space="preserve"> Some payers require that newly enrolled patients receive a preventive medicine service   within a limited timeframe of enrolling with plan that in certain cases result in overutilization and unnecessary duplicative services with no increase in value</w:t>
      </w:r>
    </w:p>
    <w:p w14:paraId="3AA1EF6D" w14:textId="77777777" w:rsidR="002558BB" w:rsidRPr="00DB1801" w:rsidRDefault="002558BB" w:rsidP="002558BB">
      <w:pPr>
        <w:rPr>
          <w:rFonts w:ascii="Alegreya" w:eastAsia="Times New Roman" w:hAnsi="Alegreya" w:cs="Times New Roman"/>
        </w:rPr>
      </w:pPr>
    </w:p>
    <w:p w14:paraId="716B0821" w14:textId="77777777" w:rsidR="002558BB" w:rsidRPr="00DB1801" w:rsidRDefault="002558BB" w:rsidP="002558BB">
      <w:pPr>
        <w:rPr>
          <w:rFonts w:ascii="Alegreya" w:eastAsia="Times New Roman" w:hAnsi="Alegreya" w:cs="Times New Roman"/>
        </w:rPr>
      </w:pPr>
      <w:r w:rsidRPr="00DB1801">
        <w:rPr>
          <w:rFonts w:ascii="Alegreya" w:eastAsia="Times New Roman" w:hAnsi="Alegreya" w:cs="Times New Roman"/>
          <w:b/>
          <w:bCs/>
        </w:rPr>
        <w:t>Impact to Pediatricians:</w:t>
      </w:r>
      <w:r w:rsidRPr="00DB1801">
        <w:rPr>
          <w:rFonts w:ascii="Alegreya" w:eastAsia="Times New Roman" w:hAnsi="Alegreya" w:cs="Times New Roman"/>
        </w:rPr>
        <w:t xml:space="preserve"> While it is commendable for payer’</w:t>
      </w:r>
      <w:r>
        <w:rPr>
          <w:rFonts w:ascii="Alegreya" w:eastAsia="Times New Roman" w:hAnsi="Alegreya" w:cs="Times New Roman"/>
        </w:rPr>
        <w:t xml:space="preserve">s </w:t>
      </w:r>
      <w:r w:rsidRPr="00DB1801">
        <w:rPr>
          <w:rFonts w:ascii="Alegreya" w:eastAsia="Times New Roman" w:hAnsi="Alegreya" w:cs="Times New Roman"/>
        </w:rPr>
        <w:t xml:space="preserve">efforts to ensure that their new enrollees are receiving needed preventive services, unless properly designed, these policies may contribute to unnecessary visits and overutilization. This is the case when a patient may have recently received a full comprehensive preventive medicine </w:t>
      </w:r>
      <w:proofErr w:type="gramStart"/>
      <w:r w:rsidRPr="00DB1801">
        <w:rPr>
          <w:rFonts w:ascii="Alegreya" w:eastAsia="Times New Roman" w:hAnsi="Alegreya" w:cs="Times New Roman"/>
        </w:rPr>
        <w:t>service, but</w:t>
      </w:r>
      <w:proofErr w:type="gramEnd"/>
      <w:r w:rsidRPr="00DB1801">
        <w:rPr>
          <w:rFonts w:ascii="Alegreya" w:eastAsia="Times New Roman" w:hAnsi="Alegreya" w:cs="Times New Roman"/>
        </w:rPr>
        <w:t xml:space="preserve"> had to switch plans possibly due to a job loss or job change. Unless medically indicated, it would be unnecessary for the same physician to see the patient back for another comprehensive preventive medicine service as required by the new health plan. However, where this may be very important is when the patient also </w:t>
      </w:r>
      <w:proofErr w:type="gramStart"/>
      <w:r w:rsidRPr="00DB1801">
        <w:rPr>
          <w:rFonts w:ascii="Alegreya" w:eastAsia="Times New Roman" w:hAnsi="Alegreya" w:cs="Times New Roman"/>
        </w:rPr>
        <w:t>has to</w:t>
      </w:r>
      <w:proofErr w:type="gramEnd"/>
      <w:r w:rsidRPr="00DB1801">
        <w:rPr>
          <w:rFonts w:ascii="Alegreya" w:eastAsia="Times New Roman" w:hAnsi="Alegreya" w:cs="Times New Roman"/>
        </w:rPr>
        <w:t xml:space="preserve"> change primary care providers. This required preventive medicine service could be important in helping the new physician establish care and get a thorough past, family and social history before the patient may have a medical condition that needs addressing. </w:t>
      </w:r>
    </w:p>
    <w:p w14:paraId="3223CA88" w14:textId="77777777" w:rsidR="002558BB" w:rsidRPr="00DB1801" w:rsidRDefault="002558BB" w:rsidP="002558BB">
      <w:pPr>
        <w:rPr>
          <w:rFonts w:ascii="Alegreya" w:eastAsia="Times New Roman" w:hAnsi="Alegreya" w:cs="Times New Roman"/>
        </w:rPr>
      </w:pPr>
    </w:p>
    <w:p w14:paraId="221D96A7" w14:textId="77777777" w:rsidR="002558BB" w:rsidRPr="00DB1801" w:rsidRDefault="002558BB" w:rsidP="002558BB">
      <w:pPr>
        <w:rPr>
          <w:rFonts w:ascii="Alegreya" w:eastAsia="Times New Roman" w:hAnsi="Alegreya" w:cs="Times New Roman"/>
        </w:rPr>
      </w:pPr>
    </w:p>
    <w:p w14:paraId="642956F0" w14:textId="77777777" w:rsidR="002558BB" w:rsidRPr="00DB1801" w:rsidRDefault="002558BB" w:rsidP="002558BB">
      <w:pPr>
        <w:rPr>
          <w:rFonts w:ascii="Alegreya" w:eastAsia="Times New Roman" w:hAnsi="Alegreya" w:cs="Times New Roman"/>
        </w:rPr>
      </w:pPr>
      <w:r w:rsidRPr="00DB1801">
        <w:rPr>
          <w:rFonts w:ascii="Alegreya" w:eastAsia="Times New Roman" w:hAnsi="Alegreya" w:cs="Times New Roman"/>
          <w:b/>
          <w:bCs/>
        </w:rPr>
        <w:t>Impact to Patients/Families:</w:t>
      </w:r>
      <w:r w:rsidRPr="00DB1801">
        <w:rPr>
          <w:rFonts w:ascii="Alegreya" w:eastAsia="Times New Roman" w:hAnsi="Alegreya" w:cs="Times New Roman"/>
        </w:rPr>
        <w:t xml:space="preserve">  Families' lives are busy, </w:t>
      </w:r>
      <w:proofErr w:type="gramStart"/>
      <w:r w:rsidRPr="00DB1801">
        <w:rPr>
          <w:rFonts w:ascii="Alegreya" w:eastAsia="Times New Roman" w:hAnsi="Alegreya" w:cs="Times New Roman"/>
        </w:rPr>
        <w:t>complex</w:t>
      </w:r>
      <w:proofErr w:type="gramEnd"/>
      <w:r w:rsidRPr="00DB1801">
        <w:rPr>
          <w:rFonts w:ascii="Alegreya" w:eastAsia="Times New Roman" w:hAnsi="Alegreya" w:cs="Times New Roman"/>
        </w:rPr>
        <w:t xml:space="preserve"> and coordinating an appropriate time for (a possible) additional preventive service is not always warranted. For those patients not needing an additional service because they have recently had one with the same provider, it is a waste of time and resources and of limited value. Often time parents </w:t>
      </w:r>
      <w:proofErr w:type="gramStart"/>
      <w:r w:rsidRPr="00DB1801">
        <w:rPr>
          <w:rFonts w:ascii="Alegreya" w:eastAsia="Times New Roman" w:hAnsi="Alegreya" w:cs="Times New Roman"/>
        </w:rPr>
        <w:t>have to</w:t>
      </w:r>
      <w:proofErr w:type="gramEnd"/>
      <w:r w:rsidRPr="00DB1801">
        <w:rPr>
          <w:rFonts w:ascii="Alegreya" w:eastAsia="Times New Roman" w:hAnsi="Alegreya" w:cs="Times New Roman"/>
        </w:rPr>
        <w:t xml:space="preserve"> take time off work or schedule it around other activities and if one is not needed, it should not be required. However, on the other hand, when switching practices, it is often helpful to have that initial comprehensive preventive service to get acquainted with a physician before a patient may need acute care for an illness. It helps to put the family at ease. </w:t>
      </w:r>
    </w:p>
    <w:p w14:paraId="20F91FF6" w14:textId="77777777" w:rsidR="002558BB" w:rsidRPr="00DB1801" w:rsidRDefault="002558BB" w:rsidP="002558BB">
      <w:pPr>
        <w:rPr>
          <w:rFonts w:ascii="Alegreya" w:eastAsia="Times New Roman" w:hAnsi="Alegreya" w:cs="Times New Roman"/>
        </w:rPr>
      </w:pPr>
      <w:r w:rsidRPr="00DB1801">
        <w:rPr>
          <w:rFonts w:ascii="Alegreya" w:eastAsia="Times New Roman" w:hAnsi="Alegreya" w:cs="Times New Roman"/>
        </w:rPr>
        <w:t xml:space="preserve"> </w:t>
      </w:r>
    </w:p>
    <w:p w14:paraId="104BF3FE" w14:textId="77777777" w:rsidR="002558BB" w:rsidRPr="00DB1801" w:rsidRDefault="002558BB" w:rsidP="002558BB">
      <w:pPr>
        <w:rPr>
          <w:rFonts w:ascii="Alegreya" w:eastAsia="Times New Roman" w:hAnsi="Alegreya" w:cs="Times New Roman"/>
        </w:rPr>
      </w:pPr>
    </w:p>
    <w:p w14:paraId="4CDBFFA9" w14:textId="77777777" w:rsidR="002558BB" w:rsidRDefault="002558BB" w:rsidP="002558BB">
      <w:pPr>
        <w:rPr>
          <w:rFonts w:ascii="Alegreya" w:eastAsia="Times New Roman" w:hAnsi="Alegreya" w:cs="Times New Roman"/>
          <w:b/>
          <w:bCs/>
        </w:rPr>
      </w:pPr>
    </w:p>
    <w:p w14:paraId="2EEBCC90" w14:textId="77777777" w:rsidR="002558BB" w:rsidRDefault="002558BB" w:rsidP="002558BB">
      <w:pPr>
        <w:rPr>
          <w:rFonts w:ascii="Alegreya" w:eastAsia="Times New Roman" w:hAnsi="Alegreya" w:cs="Times New Roman"/>
          <w:b/>
          <w:bCs/>
        </w:rPr>
      </w:pPr>
    </w:p>
    <w:p w14:paraId="271385CF" w14:textId="77777777" w:rsidR="002558BB" w:rsidRPr="00DB1801" w:rsidRDefault="002558BB" w:rsidP="002558BB">
      <w:pPr>
        <w:rPr>
          <w:rFonts w:ascii="Alegreya" w:eastAsia="Times New Roman" w:hAnsi="Alegreya" w:cs="Times New Roman"/>
          <w:b/>
          <w:bCs/>
        </w:rPr>
      </w:pPr>
      <w:r w:rsidRPr="00DB1801">
        <w:rPr>
          <w:rFonts w:ascii="Alegreya" w:eastAsia="Times New Roman" w:hAnsi="Alegreya" w:cs="Times New Roman"/>
          <w:b/>
          <w:bCs/>
        </w:rPr>
        <w:t>Recommendations:</w:t>
      </w:r>
    </w:p>
    <w:p w14:paraId="33011358" w14:textId="77777777" w:rsidR="002558BB" w:rsidRPr="00DB1801" w:rsidRDefault="002558BB" w:rsidP="002558BB">
      <w:pPr>
        <w:pStyle w:val="ListParagraph"/>
        <w:numPr>
          <w:ilvl w:val="0"/>
          <w:numId w:val="2"/>
        </w:numPr>
        <w:spacing w:before="240" w:after="240"/>
        <w:rPr>
          <w:rFonts w:ascii="Alegreya" w:eastAsia="Times New Roman" w:hAnsi="Alegreya" w:cs="Arial"/>
          <w:color w:val="000000"/>
        </w:rPr>
      </w:pPr>
      <w:r w:rsidRPr="00DB1801">
        <w:rPr>
          <w:rFonts w:ascii="Alegreya" w:eastAsia="Times New Roman" w:hAnsi="Alegreya" w:cs="Arial"/>
          <w:color w:val="000000"/>
        </w:rPr>
        <w:t>Obtain documentation from the payer on their rules regarding timing of well visits/preventive services if new to the payer.</w:t>
      </w:r>
    </w:p>
    <w:p w14:paraId="4B4FD2D6" w14:textId="77777777" w:rsidR="002558BB" w:rsidRPr="00DB1801" w:rsidRDefault="002558BB" w:rsidP="002558BB">
      <w:pPr>
        <w:pStyle w:val="ListParagraph"/>
        <w:numPr>
          <w:ilvl w:val="0"/>
          <w:numId w:val="2"/>
        </w:numPr>
        <w:rPr>
          <w:rFonts w:ascii="Alegreya" w:eastAsia="Times New Roman" w:hAnsi="Alegreya" w:cs="Times New Roman"/>
        </w:rPr>
      </w:pPr>
      <w:r w:rsidRPr="00DB1801">
        <w:rPr>
          <w:rFonts w:ascii="Alegreya" w:eastAsia="Times New Roman" w:hAnsi="Alegreya" w:cs="Times New Roman"/>
        </w:rPr>
        <w:t>If the payer requires an initial comprehensive preventive medicine service upon enrollment advocate using the following logic:</w:t>
      </w:r>
    </w:p>
    <w:p w14:paraId="50583A9A" w14:textId="77777777" w:rsidR="002558BB" w:rsidRPr="00DB1801" w:rsidRDefault="002558BB" w:rsidP="002558BB">
      <w:pPr>
        <w:pStyle w:val="ListParagraph"/>
        <w:numPr>
          <w:ilvl w:val="1"/>
          <w:numId w:val="2"/>
        </w:numPr>
        <w:rPr>
          <w:rFonts w:ascii="Alegreya" w:eastAsia="Times New Roman" w:hAnsi="Alegreya" w:cs="Times New Roman"/>
        </w:rPr>
      </w:pPr>
      <w:r w:rsidRPr="00DB1801">
        <w:rPr>
          <w:rFonts w:ascii="Alegreya" w:eastAsia="Times New Roman" w:hAnsi="Alegreya" w:cs="Times New Roman"/>
        </w:rPr>
        <w:t>Allow an override to this requirement to see a provider upon enrolling if that same provider can show proof of a previous preventive medicine service within the past 6 months</w:t>
      </w:r>
    </w:p>
    <w:p w14:paraId="63CCFE22" w14:textId="77777777" w:rsidR="002558BB" w:rsidRPr="00DB1801" w:rsidRDefault="002558BB" w:rsidP="002558BB">
      <w:pPr>
        <w:pStyle w:val="ListParagraph"/>
        <w:numPr>
          <w:ilvl w:val="1"/>
          <w:numId w:val="2"/>
        </w:numPr>
        <w:rPr>
          <w:rFonts w:ascii="Alegreya" w:eastAsia="Times New Roman" w:hAnsi="Alegreya" w:cs="Times New Roman"/>
        </w:rPr>
      </w:pPr>
      <w:r w:rsidRPr="00DB1801">
        <w:rPr>
          <w:rFonts w:ascii="Alegreya" w:eastAsia="Times New Roman" w:hAnsi="Alegreya" w:cs="Times New Roman"/>
        </w:rPr>
        <w:t>If, however, the patient is new to a payer and new to a provider, allow a comprehensive preventive medicine service regardless of the timing of the previous preventive medicine service</w:t>
      </w:r>
    </w:p>
    <w:p w14:paraId="4A3E5689" w14:textId="77777777" w:rsidR="002558BB" w:rsidRPr="00DB1801" w:rsidRDefault="002558BB" w:rsidP="002558BB">
      <w:pPr>
        <w:rPr>
          <w:rFonts w:ascii="Alegreya" w:hAnsi="Alegreya"/>
          <w:b/>
          <w:bCs/>
        </w:rPr>
      </w:pPr>
      <w:r w:rsidRPr="00DB1801">
        <w:rPr>
          <w:rFonts w:ascii="Alegreya" w:eastAsia="Times New Roman" w:hAnsi="Alegreya" w:cs="Times New Roman"/>
        </w:rPr>
        <w:br/>
      </w:r>
      <w:r w:rsidRPr="00DB1801">
        <w:rPr>
          <w:rFonts w:ascii="Alegreya" w:hAnsi="Alegreya"/>
          <w:b/>
          <w:bCs/>
        </w:rPr>
        <w:t>AAP Resources</w:t>
      </w:r>
    </w:p>
    <w:p w14:paraId="548AAD18" w14:textId="77777777" w:rsidR="002558BB" w:rsidRPr="00DB1801" w:rsidRDefault="002558BB" w:rsidP="002558BB">
      <w:pPr>
        <w:pStyle w:val="ListParagraph"/>
        <w:numPr>
          <w:ilvl w:val="0"/>
          <w:numId w:val="1"/>
        </w:numPr>
        <w:rPr>
          <w:rFonts w:ascii="Alegreya" w:hAnsi="Alegreya"/>
        </w:rPr>
      </w:pPr>
      <w:r w:rsidRPr="00DB1801">
        <w:rPr>
          <w:rFonts w:ascii="Alegreya" w:eastAsia="Times New Roman" w:hAnsi="Alegreya" w:cs="Arial"/>
          <w:color w:val="000000"/>
        </w:rPr>
        <w:t xml:space="preserve">AAP Recommendations for Preventive Pediatric Health </w:t>
      </w:r>
      <w:r w:rsidRPr="00DB1801">
        <w:rPr>
          <w:rFonts w:ascii="Alegreya" w:hAnsi="Alegreya" w:cs="Arial"/>
          <w:color w:val="333333"/>
        </w:rPr>
        <w:t>(also referred to as the </w:t>
      </w:r>
      <w:hyperlink r:id="rId6" w:tgtFrame="_blank" w:history="1">
        <w:r w:rsidRPr="00DB1801">
          <w:rPr>
            <w:rFonts w:ascii="Alegreya" w:hAnsi="Alegreya" w:cs="Arial"/>
            <w:color w:val="048BC9"/>
          </w:rPr>
          <w:t>Bright Futures/AAP Periodicity Schedule</w:t>
        </w:r>
        <w:r w:rsidRPr="00DB1801">
          <w:rPr>
            <w:rFonts w:ascii="Times New Roman" w:hAnsi="Times New Roman" w:cs="Times New Roman"/>
            <w:color w:val="048BC9"/>
          </w:rPr>
          <w:t>​</w:t>
        </w:r>
      </w:hyperlink>
      <w:r w:rsidRPr="00DB1801">
        <w:rPr>
          <w:rFonts w:ascii="Alegreya" w:hAnsi="Alegreya" w:cs="Arial"/>
          <w:color w:val="333333"/>
        </w:rPr>
        <w:t>),</w:t>
      </w:r>
    </w:p>
    <w:p w14:paraId="671F5E10" w14:textId="77777777" w:rsidR="002558BB" w:rsidRPr="00DB1801" w:rsidRDefault="002558BB" w:rsidP="002558BB">
      <w:pPr>
        <w:pStyle w:val="ListParagraph"/>
        <w:numPr>
          <w:ilvl w:val="0"/>
          <w:numId w:val="1"/>
        </w:numPr>
        <w:rPr>
          <w:rFonts w:ascii="Alegreya" w:hAnsi="Alegreya"/>
        </w:rPr>
      </w:pPr>
      <w:hyperlink r:id="rId7" w:history="1">
        <w:r w:rsidRPr="00DB1801">
          <w:rPr>
            <w:rStyle w:val="Hyperlink"/>
            <w:rFonts w:ascii="Alegreya" w:eastAsia="Times New Roman" w:hAnsi="Alegreya" w:cs="Arial"/>
          </w:rPr>
          <w:t>Bright Futures Guidelines</w:t>
        </w:r>
      </w:hyperlink>
    </w:p>
    <w:p w14:paraId="39687EAE" w14:textId="77777777" w:rsidR="002558BB" w:rsidRPr="00DB1801" w:rsidRDefault="002558BB" w:rsidP="002558BB">
      <w:pPr>
        <w:pStyle w:val="ListParagraph"/>
        <w:numPr>
          <w:ilvl w:val="0"/>
          <w:numId w:val="1"/>
        </w:numPr>
        <w:rPr>
          <w:rFonts w:ascii="Alegreya" w:hAnsi="Alegreya"/>
        </w:rPr>
      </w:pPr>
      <w:hyperlink r:id="rId8" w:history="1">
        <w:r w:rsidRPr="00DB1801">
          <w:rPr>
            <w:rStyle w:val="Hyperlink"/>
            <w:rFonts w:ascii="Alegreya" w:eastAsia="Times New Roman" w:hAnsi="Alegreya" w:cs="Arial"/>
          </w:rPr>
          <w:t>Immunization Schedule</w:t>
        </w:r>
      </w:hyperlink>
    </w:p>
    <w:p w14:paraId="47C31E76" w14:textId="77777777" w:rsidR="003D7E5A" w:rsidRDefault="003D7E5A"/>
    <w:sectPr w:rsidR="003D7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greya">
    <w:altName w:val="Times New Roman"/>
    <w:panose1 w:val="02000503050000020004"/>
    <w:charset w:val="00"/>
    <w:family w:val="auto"/>
    <w:pitch w:val="variable"/>
    <w:sig w:usb0="A00000E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01E2E"/>
    <w:multiLevelType w:val="hybridMultilevel"/>
    <w:tmpl w:val="B73892B6"/>
    <w:lvl w:ilvl="0" w:tplc="4CD2A92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E2B48A6"/>
    <w:multiLevelType w:val="hybridMultilevel"/>
    <w:tmpl w:val="98FA37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8BB"/>
    <w:rsid w:val="002558BB"/>
    <w:rsid w:val="003D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CE98"/>
  <w15:chartTrackingRefBased/>
  <w15:docId w15:val="{EDB656CE-1BDD-46A9-9DFF-576ADEEC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8BB"/>
    <w:rPr>
      <w:color w:val="0000FF"/>
      <w:u w:val="single"/>
    </w:rPr>
  </w:style>
  <w:style w:type="paragraph" w:styleId="ListParagraph">
    <w:name w:val="List Paragraph"/>
    <w:basedOn w:val="Normal"/>
    <w:uiPriority w:val="34"/>
    <w:qFormat/>
    <w:rsid w:val="00255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p.org/en-us/advocacy-and-policy/aap-health-initiatives/immunizations/Pages/Immunization-Schedule.aspx"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brightfutures.aap.org/about/Pages/About.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p.org/en-us/Documents/periodicity_schedule.pdf"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AA522-087B-4CF9-BF31-76FF82F4D7D9}"/>
</file>

<file path=customXml/itemProps2.xml><?xml version="1.0" encoding="utf-8"?>
<ds:datastoreItem xmlns:ds="http://schemas.openxmlformats.org/officeDocument/2006/customXml" ds:itemID="{2AB936C0-7B77-4CFC-A127-308E380ED117}"/>
</file>

<file path=customXml/itemProps3.xml><?xml version="1.0" encoding="utf-8"?>
<ds:datastoreItem xmlns:ds="http://schemas.openxmlformats.org/officeDocument/2006/customXml" ds:itemID="{29EFE404-86F4-40B9-AFF2-78118C154CC9}"/>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Terranova, Lou</dc:creator>
  <cp:keywords/>
  <dc:description/>
  <cp:lastModifiedBy>Terranova, Lou</cp:lastModifiedBy>
  <cp:revision>1</cp:revision>
  <dcterms:created xsi:type="dcterms:W3CDTF">2020-05-07T14:10:00Z</dcterms:created>
  <dcterms:modified xsi:type="dcterms:W3CDTF">2020-05-07T14:11:00Z</dcterms:modified>
</cp:coreProperties>
</file>