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02A1" w14:textId="1D8F801A"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Date</w:t>
      </w:r>
    </w:p>
    <w:p w14:paraId="0D953015" w14:textId="77777777" w:rsidR="000F078D" w:rsidRPr="00681AD5" w:rsidRDefault="000F078D" w:rsidP="0026169C">
      <w:pPr>
        <w:pStyle w:val="NormalWeb"/>
        <w:spacing w:before="0" w:beforeAutospacing="0" w:after="0" w:afterAutospacing="0"/>
        <w:rPr>
          <w:rFonts w:ascii="Alegreya" w:hAnsi="Alegreya"/>
          <w:sz w:val="22"/>
          <w:szCs w:val="22"/>
        </w:rPr>
      </w:pPr>
    </w:p>
    <w:p w14:paraId="68EBDEDB" w14:textId="77777777" w:rsidR="000F078D" w:rsidRPr="00681AD5" w:rsidRDefault="000F078D" w:rsidP="0026169C">
      <w:pPr>
        <w:pStyle w:val="NormalWeb"/>
        <w:spacing w:before="0" w:beforeAutospacing="0" w:after="0" w:afterAutospacing="0"/>
        <w:rPr>
          <w:rFonts w:ascii="Alegreya" w:hAnsi="Alegreya"/>
          <w:sz w:val="22"/>
          <w:szCs w:val="22"/>
        </w:rPr>
      </w:pPr>
    </w:p>
    <w:p w14:paraId="4C09E928" w14:textId="263EBADC"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 xml:space="preserve">Insurance Carrier Claims Review Department </w:t>
      </w:r>
      <w:r w:rsidR="00681AD5" w:rsidRPr="00681AD5">
        <w:rPr>
          <w:rFonts w:ascii="Alegreya" w:hAnsi="Alegreya"/>
          <w:sz w:val="22"/>
          <w:szCs w:val="22"/>
        </w:rPr>
        <w:t>A</w:t>
      </w:r>
      <w:r w:rsidRPr="00681AD5">
        <w:rPr>
          <w:rFonts w:ascii="Alegreya" w:hAnsi="Alegreya"/>
          <w:sz w:val="22"/>
          <w:szCs w:val="22"/>
        </w:rPr>
        <w:t xml:space="preserve">ddress or Insurance Carrier Medical Director </w:t>
      </w:r>
      <w:r w:rsidR="00681AD5" w:rsidRPr="00681AD5">
        <w:rPr>
          <w:rFonts w:ascii="Alegreya" w:hAnsi="Alegreya"/>
          <w:sz w:val="22"/>
          <w:szCs w:val="22"/>
        </w:rPr>
        <w:t>A</w:t>
      </w:r>
      <w:r w:rsidRPr="00681AD5">
        <w:rPr>
          <w:rFonts w:ascii="Alegreya" w:hAnsi="Alegreya"/>
          <w:sz w:val="22"/>
          <w:szCs w:val="22"/>
        </w:rPr>
        <w:t>ddress</w:t>
      </w:r>
    </w:p>
    <w:p w14:paraId="6DCF86CD" w14:textId="77777777" w:rsidR="000F078D" w:rsidRPr="00681AD5" w:rsidRDefault="000F078D" w:rsidP="0026169C">
      <w:pPr>
        <w:pStyle w:val="NormalWeb"/>
        <w:spacing w:before="0" w:beforeAutospacing="0" w:after="0" w:afterAutospacing="0"/>
        <w:rPr>
          <w:rFonts w:ascii="Alegreya" w:hAnsi="Alegreya"/>
          <w:sz w:val="22"/>
          <w:szCs w:val="22"/>
        </w:rPr>
      </w:pPr>
    </w:p>
    <w:p w14:paraId="5F92C874" w14:textId="4EC53C29" w:rsidR="000F078D" w:rsidRPr="00681AD5" w:rsidRDefault="00681AD5" w:rsidP="0026169C">
      <w:pPr>
        <w:pStyle w:val="NormalWeb"/>
        <w:spacing w:before="0" w:beforeAutospacing="0" w:after="0" w:afterAutospacing="0"/>
        <w:rPr>
          <w:rFonts w:ascii="Alegreya" w:hAnsi="Alegreya"/>
          <w:sz w:val="22"/>
          <w:szCs w:val="22"/>
        </w:rPr>
      </w:pPr>
      <w:r w:rsidRPr="00681AD5">
        <w:rPr>
          <w:rFonts w:ascii="Alegreya" w:hAnsi="Alegreya"/>
          <w:sz w:val="22"/>
          <w:szCs w:val="22"/>
        </w:rPr>
        <w:t>Re: Claim # ____________</w:t>
      </w:r>
    </w:p>
    <w:p w14:paraId="479F5DE7" w14:textId="77777777" w:rsidR="00681AD5" w:rsidRPr="00681AD5" w:rsidRDefault="00681AD5" w:rsidP="0026169C">
      <w:pPr>
        <w:pStyle w:val="NormalWeb"/>
        <w:spacing w:before="0" w:beforeAutospacing="0" w:after="0" w:afterAutospacing="0"/>
        <w:rPr>
          <w:rFonts w:ascii="Alegreya" w:hAnsi="Alegreya"/>
          <w:sz w:val="22"/>
          <w:szCs w:val="22"/>
        </w:rPr>
      </w:pPr>
    </w:p>
    <w:p w14:paraId="33427F52" w14:textId="33AB2461"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Dear</w:t>
      </w:r>
      <w:r w:rsidR="000F078D" w:rsidRPr="00681AD5">
        <w:rPr>
          <w:rFonts w:ascii="Alegreya" w:hAnsi="Alegreya"/>
          <w:sz w:val="22"/>
          <w:szCs w:val="22"/>
        </w:rPr>
        <w:t xml:space="preserve"> _________________</w:t>
      </w:r>
      <w:r w:rsidR="00681AD5" w:rsidRPr="00681AD5">
        <w:rPr>
          <w:rFonts w:ascii="Alegreya" w:hAnsi="Alegreya"/>
          <w:sz w:val="22"/>
          <w:szCs w:val="22"/>
        </w:rPr>
        <w:t>:</w:t>
      </w:r>
    </w:p>
    <w:p w14:paraId="12DF65AE" w14:textId="77777777" w:rsidR="00681AD5" w:rsidRPr="00681AD5" w:rsidRDefault="00681AD5" w:rsidP="0026169C">
      <w:pPr>
        <w:pStyle w:val="NormalWeb"/>
        <w:spacing w:before="0" w:beforeAutospacing="0" w:after="0" w:afterAutospacing="0"/>
        <w:rPr>
          <w:rFonts w:ascii="Alegreya" w:hAnsi="Alegreya"/>
          <w:sz w:val="22"/>
          <w:szCs w:val="22"/>
        </w:rPr>
      </w:pPr>
    </w:p>
    <w:p w14:paraId="439FE09F" w14:textId="4C2C75CD"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 xml:space="preserve">I am writing regarding the aforementioned claim and (Insurance Carrier Name)’s denial of </w:t>
      </w:r>
      <w:r w:rsidR="00681AD5" w:rsidRPr="00681AD5">
        <w:rPr>
          <w:rFonts w:ascii="Alegreya" w:hAnsi="Alegreya"/>
          <w:sz w:val="22"/>
          <w:szCs w:val="22"/>
        </w:rPr>
        <w:t>CPT code 99072.</w:t>
      </w:r>
    </w:p>
    <w:p w14:paraId="60B01961" w14:textId="77777777" w:rsidR="00681AD5" w:rsidRPr="00681AD5" w:rsidRDefault="00681AD5" w:rsidP="0026169C">
      <w:pPr>
        <w:pStyle w:val="NormalWeb"/>
        <w:spacing w:before="0" w:beforeAutospacing="0" w:after="0" w:afterAutospacing="0"/>
        <w:rPr>
          <w:rFonts w:ascii="Alegreya" w:hAnsi="Alegreya"/>
          <w:sz w:val="22"/>
          <w:szCs w:val="22"/>
        </w:rPr>
      </w:pPr>
    </w:p>
    <w:p w14:paraId="3B20FD9B" w14:textId="622FDE2B" w:rsidR="00681AD5" w:rsidRPr="00681AD5" w:rsidRDefault="00681AD5" w:rsidP="0026169C">
      <w:pPr>
        <w:spacing w:after="0" w:line="240" w:lineRule="auto"/>
        <w:rPr>
          <w:rFonts w:ascii="Alegreya" w:hAnsi="Alegreya"/>
          <w:b/>
          <w:bCs/>
        </w:rPr>
      </w:pPr>
      <w:r w:rsidRPr="00681AD5">
        <w:rPr>
          <w:rFonts w:ascii="Alegreya" w:hAnsi="Alegreya"/>
        </w:rPr>
        <w:t xml:space="preserve">Effective September 8, 2020, CPT 99072 was created to report the increase in practice expenses required to safely provide medical services to patients in person during a public health emergency (PHE). 99072 is for medical supplies and clinical staff time </w:t>
      </w:r>
      <w:r w:rsidRPr="00681AD5">
        <w:rPr>
          <w:rFonts w:ascii="Alegreya" w:hAnsi="Alegreya"/>
          <w:b/>
          <w:bCs/>
        </w:rPr>
        <w:t>over and above those included in an office visit or other non-facility service. The definition for 99072 is:</w:t>
      </w:r>
    </w:p>
    <w:p w14:paraId="17A86937" w14:textId="77777777" w:rsidR="0026169C" w:rsidRPr="00097898" w:rsidRDefault="0026169C" w:rsidP="0026169C">
      <w:pPr>
        <w:spacing w:after="0" w:line="240" w:lineRule="auto"/>
        <w:ind w:left="720"/>
        <w:rPr>
          <w:rFonts w:ascii="Alegreya" w:hAnsi="Alegreya" w:cstheme="minorHAnsi"/>
          <w:sz w:val="14"/>
          <w:szCs w:val="14"/>
        </w:rPr>
      </w:pPr>
    </w:p>
    <w:p w14:paraId="5CB5CDE6" w14:textId="25A074AA" w:rsidR="00681AD5" w:rsidRPr="00681AD5" w:rsidRDefault="00681AD5" w:rsidP="0026169C">
      <w:pPr>
        <w:spacing w:after="0" w:line="240" w:lineRule="auto"/>
        <w:ind w:left="720"/>
        <w:rPr>
          <w:rFonts w:ascii="Alegreya" w:eastAsia="MS PGothic" w:hAnsi="Alegreya" w:cstheme="minorHAnsi"/>
          <w:i/>
          <w:iCs/>
          <w:color w:val="000000"/>
          <w:lang w:eastAsia="ja-JP"/>
        </w:rPr>
      </w:pPr>
      <w:r w:rsidRPr="00681AD5">
        <w:rPr>
          <w:rFonts w:ascii="Alegreya" w:hAnsi="Alegreya" w:cstheme="minorHAnsi"/>
        </w:rPr>
        <w:t xml:space="preserve">99072 </w:t>
      </w:r>
      <w:r w:rsidRPr="00681AD5">
        <w:rPr>
          <w:rFonts w:ascii="Alegreya" w:eastAsia="MS PGothic" w:hAnsi="Alegreya" w:cstheme="minorHAnsi"/>
          <w:i/>
          <w:iCs/>
          <w:color w:val="000000"/>
          <w:lang w:eastAsia="ja-JP"/>
        </w:rPr>
        <w:t>Additional supplies, materials, and preparation time required and provided by the physician or other qualified health care professional and/or clinical staff over and above those usually included in an office visit or other service(s), when performed during a nationally declared public health emergency due to respiratory transmitted infectious disease</w:t>
      </w:r>
    </w:p>
    <w:p w14:paraId="7E9B4484" w14:textId="77777777" w:rsidR="0026169C" w:rsidRDefault="0026169C" w:rsidP="0026169C">
      <w:pPr>
        <w:spacing w:after="0" w:line="240" w:lineRule="auto"/>
        <w:rPr>
          <w:rFonts w:ascii="Alegreya" w:hAnsi="Alegreya"/>
        </w:rPr>
      </w:pPr>
    </w:p>
    <w:p w14:paraId="78664AFB" w14:textId="170D517F" w:rsidR="00681AD5" w:rsidRDefault="00681AD5" w:rsidP="0026169C">
      <w:pPr>
        <w:spacing w:after="0" w:line="240" w:lineRule="auto"/>
        <w:rPr>
          <w:rFonts w:ascii="Alegreya" w:hAnsi="Alegreya"/>
        </w:rPr>
      </w:pPr>
      <w:r w:rsidRPr="00681AD5">
        <w:rPr>
          <w:rFonts w:ascii="Alegreya" w:hAnsi="Alegreya"/>
        </w:rPr>
        <w:t>Code 99072 is part of the HIPAA procedural code set effective 9/8/20, and HIPAA requires that covered entities utilize the code set that is valid at the time the service is provided.</w:t>
      </w:r>
    </w:p>
    <w:p w14:paraId="4CBDFDFF" w14:textId="77777777" w:rsidR="0026169C" w:rsidRPr="00FB6C2F" w:rsidRDefault="0026169C" w:rsidP="0026169C">
      <w:pPr>
        <w:spacing w:after="0" w:line="240" w:lineRule="auto"/>
        <w:rPr>
          <w:rFonts w:ascii="Alegreya" w:eastAsia="MS PGothic" w:hAnsi="Alegreya" w:cstheme="minorHAnsi"/>
          <w:color w:val="000000"/>
          <w:lang w:eastAsia="ja-JP"/>
        </w:rPr>
      </w:pPr>
    </w:p>
    <w:p w14:paraId="4012A97E" w14:textId="77777777" w:rsidR="00681AD5" w:rsidRPr="00681AD5" w:rsidRDefault="00681AD5" w:rsidP="0026169C">
      <w:pPr>
        <w:spacing w:after="0" w:line="240" w:lineRule="auto"/>
        <w:rPr>
          <w:rFonts w:ascii="Alegreya" w:hAnsi="Alegreya" w:cstheme="minorHAnsi"/>
        </w:rPr>
      </w:pPr>
      <w:r w:rsidRPr="00681AD5">
        <w:rPr>
          <w:rFonts w:ascii="Alegreya" w:hAnsi="Alegreya" w:cstheme="minorHAnsi"/>
        </w:rPr>
        <w:t>The table below compares/contrasts code 99072 with existing code 99070 (</w:t>
      </w:r>
      <w:r w:rsidRPr="00681AD5">
        <w:rPr>
          <w:rFonts w:ascii="Alegreya" w:hAnsi="Alegreya" w:cstheme="minorHAnsi"/>
          <w:i/>
          <w:iCs/>
          <w:color w:val="212529"/>
          <w:shd w:val="clear" w:color="auto" w:fill="FFFFFF"/>
        </w:rPr>
        <w:t>Supplies and materials (except spectacles), provided by the physician or other qualified health care professional over and above those usually included with the office visit or other services rendered (list drugs, trays, supplies, or materials provided)</w:t>
      </w:r>
      <w:r w:rsidRPr="00681AD5">
        <w:rPr>
          <w:rFonts w:ascii="Alegreya" w:hAnsi="Alegreya" w:cstheme="minorHAnsi"/>
          <w:color w:val="212529"/>
          <w:shd w:val="clear" w:color="auto" w:fill="FFFFFF"/>
        </w:rPr>
        <w:t>)</w:t>
      </w:r>
      <w:r w:rsidRPr="00681AD5">
        <w:rPr>
          <w:rFonts w:ascii="Alegreya" w:hAnsi="Alegreya" w:cstheme="minorHAnsi"/>
        </w:rPr>
        <w:t>:</w:t>
      </w:r>
    </w:p>
    <w:p w14:paraId="2FDDBA26" w14:textId="77777777" w:rsidR="0026169C" w:rsidRPr="00B4134C" w:rsidRDefault="0026169C" w:rsidP="0026169C">
      <w:pPr>
        <w:spacing w:after="0" w:line="240" w:lineRule="auto"/>
        <w:rPr>
          <w:rFonts w:ascii="Alegreya" w:hAnsi="Alegreya" w:cstheme="minorHAnsi"/>
          <w:sz w:val="20"/>
        </w:rPr>
      </w:pPr>
    </w:p>
    <w:tbl>
      <w:tblPr>
        <w:tblStyle w:val="TableGrid"/>
        <w:tblW w:w="0" w:type="auto"/>
        <w:jc w:val="center"/>
        <w:tblLook w:val="04A0" w:firstRow="1" w:lastRow="0" w:firstColumn="1" w:lastColumn="0" w:noHBand="0" w:noVBand="1"/>
      </w:tblPr>
      <w:tblGrid>
        <w:gridCol w:w="2515"/>
        <w:gridCol w:w="4410"/>
        <w:gridCol w:w="2425"/>
      </w:tblGrid>
      <w:tr w:rsidR="0026169C" w:rsidRPr="00B4134C" w14:paraId="3F002114" w14:textId="77777777" w:rsidTr="00FB6C2F">
        <w:trPr>
          <w:jc w:val="center"/>
        </w:trPr>
        <w:tc>
          <w:tcPr>
            <w:tcW w:w="2515" w:type="dxa"/>
          </w:tcPr>
          <w:p w14:paraId="683B0969" w14:textId="77777777" w:rsidR="0026169C" w:rsidRPr="00B4134C" w:rsidRDefault="0026169C" w:rsidP="0026169C">
            <w:pPr>
              <w:rPr>
                <w:rFonts w:ascii="Alegreya" w:hAnsi="Alegreya"/>
                <w:sz w:val="20"/>
                <w:szCs w:val="20"/>
              </w:rPr>
            </w:pPr>
          </w:p>
        </w:tc>
        <w:tc>
          <w:tcPr>
            <w:tcW w:w="4410" w:type="dxa"/>
            <w:shd w:val="clear" w:color="auto" w:fill="E2EFD9" w:themeFill="accent6" w:themeFillTint="33"/>
          </w:tcPr>
          <w:p w14:paraId="3BE4F788" w14:textId="77777777" w:rsidR="0026169C" w:rsidRPr="00B4134C" w:rsidRDefault="0026169C" w:rsidP="0026169C">
            <w:pPr>
              <w:jc w:val="center"/>
              <w:rPr>
                <w:rFonts w:ascii="Alegreya" w:hAnsi="Alegreya"/>
                <w:b/>
                <w:bCs/>
                <w:sz w:val="20"/>
                <w:szCs w:val="20"/>
              </w:rPr>
            </w:pPr>
            <w:r w:rsidRPr="00B4134C">
              <w:rPr>
                <w:rFonts w:ascii="Alegreya" w:hAnsi="Alegreya"/>
                <w:b/>
                <w:bCs/>
                <w:sz w:val="20"/>
                <w:szCs w:val="20"/>
              </w:rPr>
              <w:t>99072</w:t>
            </w:r>
          </w:p>
        </w:tc>
        <w:tc>
          <w:tcPr>
            <w:tcW w:w="2425" w:type="dxa"/>
            <w:shd w:val="clear" w:color="auto" w:fill="DEEAF6" w:themeFill="accent1" w:themeFillTint="33"/>
          </w:tcPr>
          <w:p w14:paraId="59F8F5F2" w14:textId="77777777" w:rsidR="0026169C" w:rsidRPr="00B4134C" w:rsidRDefault="0026169C" w:rsidP="0026169C">
            <w:pPr>
              <w:jc w:val="center"/>
              <w:rPr>
                <w:rFonts w:ascii="Alegreya" w:hAnsi="Alegreya"/>
                <w:b/>
                <w:bCs/>
                <w:sz w:val="20"/>
                <w:szCs w:val="20"/>
              </w:rPr>
            </w:pPr>
            <w:r w:rsidRPr="00B4134C">
              <w:rPr>
                <w:rFonts w:ascii="Alegreya" w:hAnsi="Alegreya"/>
                <w:b/>
                <w:bCs/>
                <w:sz w:val="20"/>
                <w:szCs w:val="20"/>
              </w:rPr>
              <w:t>99070</w:t>
            </w:r>
          </w:p>
        </w:tc>
      </w:tr>
      <w:tr w:rsidR="0026169C" w:rsidRPr="00B4134C" w14:paraId="51A0CAFE" w14:textId="77777777" w:rsidTr="00FB6C2F">
        <w:trPr>
          <w:jc w:val="center"/>
        </w:trPr>
        <w:tc>
          <w:tcPr>
            <w:tcW w:w="2515" w:type="dxa"/>
          </w:tcPr>
          <w:p w14:paraId="0301BFC8" w14:textId="77777777" w:rsidR="0026169C" w:rsidRPr="00B4134C" w:rsidRDefault="0026169C" w:rsidP="0026169C">
            <w:pPr>
              <w:rPr>
                <w:rFonts w:ascii="Alegreya" w:hAnsi="Alegreya"/>
                <w:sz w:val="20"/>
                <w:szCs w:val="20"/>
              </w:rPr>
            </w:pPr>
            <w:r w:rsidRPr="00B4134C">
              <w:rPr>
                <w:rFonts w:ascii="Alegreya" w:hAnsi="Alegreya"/>
                <w:sz w:val="20"/>
                <w:szCs w:val="20"/>
              </w:rPr>
              <w:t>When is the code reported?</w:t>
            </w:r>
          </w:p>
        </w:tc>
        <w:tc>
          <w:tcPr>
            <w:tcW w:w="4410" w:type="dxa"/>
            <w:shd w:val="clear" w:color="auto" w:fill="E2EFD9" w:themeFill="accent6" w:themeFillTint="33"/>
          </w:tcPr>
          <w:p w14:paraId="75270204" w14:textId="77777777" w:rsidR="0026169C" w:rsidRPr="00B4134C" w:rsidRDefault="0026169C" w:rsidP="0026169C">
            <w:pPr>
              <w:rPr>
                <w:rFonts w:ascii="Alegreya" w:hAnsi="Alegreya"/>
                <w:sz w:val="20"/>
                <w:szCs w:val="20"/>
              </w:rPr>
            </w:pPr>
            <w:r w:rsidRPr="00B4134C">
              <w:rPr>
                <w:rFonts w:ascii="Alegreya" w:hAnsi="Alegreya"/>
                <w:sz w:val="20"/>
                <w:szCs w:val="20"/>
              </w:rPr>
              <w:t>•Only during a PHE</w:t>
            </w:r>
          </w:p>
          <w:p w14:paraId="748553A8" w14:textId="77777777" w:rsidR="0026169C" w:rsidRPr="00B4134C" w:rsidRDefault="0026169C" w:rsidP="0026169C">
            <w:pPr>
              <w:rPr>
                <w:rFonts w:ascii="Alegreya" w:hAnsi="Alegreya"/>
                <w:sz w:val="20"/>
                <w:szCs w:val="20"/>
              </w:rPr>
            </w:pPr>
            <w:r w:rsidRPr="00B4134C">
              <w:rPr>
                <w:rFonts w:ascii="Alegreya" w:hAnsi="Alegreya"/>
                <w:sz w:val="20"/>
                <w:szCs w:val="20"/>
              </w:rPr>
              <w:t>•Only for additional items required to support a safe in-person provision of evaluation, treatment, or procedural service(s)</w:t>
            </w:r>
          </w:p>
          <w:p w14:paraId="39E73CB5" w14:textId="77777777" w:rsidR="0026169C" w:rsidRPr="00B4134C" w:rsidRDefault="0026169C" w:rsidP="0026169C">
            <w:pPr>
              <w:rPr>
                <w:rFonts w:ascii="Alegreya" w:hAnsi="Alegreya"/>
                <w:sz w:val="20"/>
                <w:szCs w:val="20"/>
              </w:rPr>
            </w:pPr>
            <w:r w:rsidRPr="00B4134C">
              <w:rPr>
                <w:rFonts w:ascii="Alegreya" w:hAnsi="Alegreya"/>
                <w:sz w:val="20"/>
                <w:szCs w:val="20"/>
              </w:rPr>
              <w:t>•Can be reported with 99070</w:t>
            </w:r>
          </w:p>
        </w:tc>
        <w:tc>
          <w:tcPr>
            <w:tcW w:w="2425" w:type="dxa"/>
            <w:shd w:val="clear" w:color="auto" w:fill="DEEAF6" w:themeFill="accent1" w:themeFillTint="33"/>
          </w:tcPr>
          <w:p w14:paraId="7710BC26" w14:textId="77777777" w:rsidR="0026169C" w:rsidRPr="00B4134C" w:rsidRDefault="0026169C" w:rsidP="0026169C">
            <w:pPr>
              <w:rPr>
                <w:rFonts w:ascii="Alegreya" w:hAnsi="Alegreya"/>
                <w:sz w:val="20"/>
                <w:szCs w:val="20"/>
              </w:rPr>
            </w:pPr>
            <w:r w:rsidRPr="00B4134C">
              <w:rPr>
                <w:rFonts w:ascii="Alegreya" w:hAnsi="Alegreya"/>
                <w:sz w:val="20"/>
                <w:szCs w:val="20"/>
              </w:rPr>
              <w:t>•For additional supplies provided over and above those usually included with a specific service, such as drugs, intravenous (IV) catheters, or trays – when a more specific supply code (eg, HCPCS Level II) is not available</w:t>
            </w:r>
          </w:p>
          <w:p w14:paraId="580EFA2F" w14:textId="77777777" w:rsidR="0026169C" w:rsidRPr="00B4134C" w:rsidRDefault="0026169C" w:rsidP="0026169C">
            <w:pPr>
              <w:rPr>
                <w:rFonts w:ascii="Alegreya" w:hAnsi="Alegreya"/>
                <w:sz w:val="20"/>
                <w:szCs w:val="20"/>
              </w:rPr>
            </w:pPr>
            <w:r w:rsidRPr="00B4134C">
              <w:rPr>
                <w:rFonts w:ascii="Alegreya" w:hAnsi="Alegreya"/>
                <w:sz w:val="20"/>
                <w:szCs w:val="20"/>
              </w:rPr>
              <w:t>•Can be reported with 99072</w:t>
            </w:r>
          </w:p>
        </w:tc>
      </w:tr>
      <w:tr w:rsidR="0026169C" w:rsidRPr="00B4134C" w14:paraId="20C340A1" w14:textId="77777777" w:rsidTr="00FB6C2F">
        <w:trPr>
          <w:jc w:val="center"/>
        </w:trPr>
        <w:tc>
          <w:tcPr>
            <w:tcW w:w="2515" w:type="dxa"/>
          </w:tcPr>
          <w:p w14:paraId="20985E06" w14:textId="77777777" w:rsidR="0026169C" w:rsidRPr="00B4134C" w:rsidRDefault="0026169C" w:rsidP="0026169C">
            <w:pPr>
              <w:rPr>
                <w:rFonts w:ascii="Alegreya" w:hAnsi="Alegreya"/>
                <w:sz w:val="20"/>
                <w:szCs w:val="20"/>
              </w:rPr>
            </w:pPr>
            <w:r w:rsidRPr="00B4134C">
              <w:rPr>
                <w:rFonts w:ascii="Alegreya" w:hAnsi="Alegreya"/>
                <w:sz w:val="20"/>
                <w:szCs w:val="20"/>
              </w:rPr>
              <w:t>Are there limits to the number of times this code can be reported?</w:t>
            </w:r>
          </w:p>
        </w:tc>
        <w:tc>
          <w:tcPr>
            <w:tcW w:w="4410" w:type="dxa"/>
            <w:shd w:val="clear" w:color="auto" w:fill="E2EFD9" w:themeFill="accent6" w:themeFillTint="33"/>
          </w:tcPr>
          <w:p w14:paraId="105BC74D" w14:textId="77777777" w:rsidR="0026169C" w:rsidRPr="00B4134C" w:rsidRDefault="0026169C" w:rsidP="0026169C">
            <w:pPr>
              <w:rPr>
                <w:rFonts w:ascii="Alegreya" w:hAnsi="Alegreya"/>
                <w:sz w:val="20"/>
                <w:szCs w:val="20"/>
              </w:rPr>
            </w:pPr>
            <w:r w:rsidRPr="00B4134C">
              <w:rPr>
                <w:rFonts w:ascii="Alegreya" w:hAnsi="Alegreya"/>
                <w:sz w:val="20"/>
                <w:szCs w:val="20"/>
              </w:rPr>
              <w:t>Yes -- reported only once per in-person patient encounter per provider identification number, regardless of the number of services rendered at that encounter.</w:t>
            </w:r>
          </w:p>
        </w:tc>
        <w:tc>
          <w:tcPr>
            <w:tcW w:w="2425" w:type="dxa"/>
            <w:shd w:val="clear" w:color="auto" w:fill="DEEAF6" w:themeFill="accent1" w:themeFillTint="33"/>
          </w:tcPr>
          <w:p w14:paraId="2BF99483"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r w:rsidR="0026169C" w:rsidRPr="00B4134C" w14:paraId="4D10AF47" w14:textId="77777777" w:rsidTr="00FB6C2F">
        <w:trPr>
          <w:jc w:val="center"/>
        </w:trPr>
        <w:tc>
          <w:tcPr>
            <w:tcW w:w="2515" w:type="dxa"/>
          </w:tcPr>
          <w:p w14:paraId="7D932E8F" w14:textId="77777777" w:rsidR="0026169C" w:rsidRPr="00B4134C" w:rsidRDefault="0026169C" w:rsidP="0026169C">
            <w:pPr>
              <w:rPr>
                <w:rFonts w:ascii="Alegreya" w:hAnsi="Alegreya"/>
                <w:sz w:val="20"/>
                <w:szCs w:val="20"/>
              </w:rPr>
            </w:pPr>
            <w:r w:rsidRPr="00B4134C">
              <w:rPr>
                <w:rFonts w:ascii="Alegreya" w:hAnsi="Alegreya"/>
                <w:sz w:val="20"/>
                <w:szCs w:val="20"/>
              </w:rPr>
              <w:lastRenderedPageBreak/>
              <w:t>Are there Place of Service (POS) restrictions?</w:t>
            </w:r>
          </w:p>
        </w:tc>
        <w:tc>
          <w:tcPr>
            <w:tcW w:w="4410" w:type="dxa"/>
            <w:shd w:val="clear" w:color="auto" w:fill="E2EFD9" w:themeFill="accent6" w:themeFillTint="33"/>
          </w:tcPr>
          <w:p w14:paraId="126E2E7F" w14:textId="77777777" w:rsidR="0026169C" w:rsidRPr="00B4134C" w:rsidRDefault="0026169C" w:rsidP="0026169C">
            <w:pPr>
              <w:rPr>
                <w:rFonts w:ascii="Alegreya" w:hAnsi="Alegreya"/>
                <w:sz w:val="20"/>
                <w:szCs w:val="20"/>
              </w:rPr>
            </w:pPr>
            <w:r w:rsidRPr="00B4134C">
              <w:rPr>
                <w:rFonts w:ascii="Alegreya" w:hAnsi="Alegreya"/>
                <w:sz w:val="20"/>
                <w:szCs w:val="20"/>
              </w:rPr>
              <w:t xml:space="preserve">Yes – this code can only be reported when the service is rendered in a </w:t>
            </w:r>
            <w:r w:rsidRPr="00B4134C">
              <w:rPr>
                <w:rFonts w:ascii="Alegreya" w:hAnsi="Alegreya"/>
                <w:b/>
                <w:bCs/>
                <w:sz w:val="20"/>
                <w:szCs w:val="20"/>
              </w:rPr>
              <w:t>non-facility</w:t>
            </w:r>
            <w:r w:rsidRPr="00B4134C">
              <w:rPr>
                <w:rFonts w:ascii="Alegreya" w:hAnsi="Alegreya"/>
                <w:sz w:val="20"/>
                <w:szCs w:val="20"/>
              </w:rPr>
              <w:t xml:space="preserve"> POS setting, and in an area where it is required to mitigate the transmission of the respiratory disease for which the PHE was declared.</w:t>
            </w:r>
          </w:p>
        </w:tc>
        <w:tc>
          <w:tcPr>
            <w:tcW w:w="2425" w:type="dxa"/>
            <w:shd w:val="clear" w:color="auto" w:fill="DEEAF6" w:themeFill="accent1" w:themeFillTint="33"/>
          </w:tcPr>
          <w:p w14:paraId="27FA6C12"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r w:rsidR="0026169C" w:rsidRPr="00B4134C" w14:paraId="73CD1846" w14:textId="77777777" w:rsidTr="00FB6C2F">
        <w:trPr>
          <w:jc w:val="center"/>
        </w:trPr>
        <w:tc>
          <w:tcPr>
            <w:tcW w:w="2515" w:type="dxa"/>
          </w:tcPr>
          <w:p w14:paraId="14210E3D" w14:textId="77777777" w:rsidR="0026169C" w:rsidRPr="00B4134C" w:rsidRDefault="0026169C" w:rsidP="0026169C">
            <w:pPr>
              <w:rPr>
                <w:rFonts w:ascii="Alegreya" w:hAnsi="Alegreya"/>
                <w:sz w:val="20"/>
                <w:szCs w:val="20"/>
              </w:rPr>
            </w:pPr>
            <w:r w:rsidRPr="00B4134C">
              <w:rPr>
                <w:rFonts w:ascii="Alegreya" w:hAnsi="Alegreya"/>
                <w:sz w:val="20"/>
                <w:szCs w:val="20"/>
              </w:rPr>
              <w:t>Is clinical staff time included?</w:t>
            </w:r>
          </w:p>
        </w:tc>
        <w:tc>
          <w:tcPr>
            <w:tcW w:w="4410" w:type="dxa"/>
            <w:shd w:val="clear" w:color="auto" w:fill="E2EFD9" w:themeFill="accent6" w:themeFillTint="33"/>
          </w:tcPr>
          <w:p w14:paraId="532BECA9" w14:textId="77777777" w:rsidR="0026169C" w:rsidRPr="00B4134C" w:rsidRDefault="0026169C" w:rsidP="0026169C">
            <w:pPr>
              <w:rPr>
                <w:rFonts w:ascii="Alegreya" w:hAnsi="Alegreya"/>
                <w:sz w:val="20"/>
                <w:szCs w:val="20"/>
              </w:rPr>
            </w:pPr>
            <w:r w:rsidRPr="00B4134C">
              <w:rPr>
                <w:rFonts w:ascii="Alegreya" w:hAnsi="Alegreya"/>
                <w:sz w:val="20"/>
                <w:szCs w:val="20"/>
              </w:rPr>
              <w:t>Yes – this code accounts for the additional time required by clinical staff to provide the service safely.</w:t>
            </w:r>
          </w:p>
        </w:tc>
        <w:tc>
          <w:tcPr>
            <w:tcW w:w="2425" w:type="dxa"/>
            <w:shd w:val="clear" w:color="auto" w:fill="DEEAF6" w:themeFill="accent1" w:themeFillTint="33"/>
          </w:tcPr>
          <w:p w14:paraId="5722F991"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r w:rsidR="0026169C" w:rsidRPr="00B4134C" w14:paraId="71C0EBEE" w14:textId="77777777" w:rsidTr="00FB6C2F">
        <w:trPr>
          <w:jc w:val="center"/>
        </w:trPr>
        <w:tc>
          <w:tcPr>
            <w:tcW w:w="2515" w:type="dxa"/>
          </w:tcPr>
          <w:p w14:paraId="1E292526" w14:textId="77777777" w:rsidR="0026169C" w:rsidRPr="00B4134C" w:rsidRDefault="0026169C" w:rsidP="0026169C">
            <w:pPr>
              <w:rPr>
                <w:rFonts w:ascii="Alegreya" w:hAnsi="Alegreya"/>
                <w:sz w:val="20"/>
                <w:szCs w:val="20"/>
              </w:rPr>
            </w:pPr>
            <w:r w:rsidRPr="00B4134C">
              <w:rPr>
                <w:rFonts w:ascii="Alegreya" w:hAnsi="Alegreya"/>
                <w:sz w:val="20"/>
                <w:szCs w:val="20"/>
              </w:rPr>
              <w:t>What does this code cover?</w:t>
            </w:r>
          </w:p>
        </w:tc>
        <w:tc>
          <w:tcPr>
            <w:tcW w:w="4410" w:type="dxa"/>
            <w:shd w:val="clear" w:color="auto" w:fill="E2EFD9" w:themeFill="accent6" w:themeFillTint="33"/>
          </w:tcPr>
          <w:p w14:paraId="2B82F60D" w14:textId="77777777" w:rsidR="0026169C" w:rsidRPr="00B4134C" w:rsidRDefault="0026169C" w:rsidP="0026169C">
            <w:pPr>
              <w:pStyle w:val="Default"/>
              <w:rPr>
                <w:rFonts w:ascii="Alegreya" w:hAnsi="Alegreya"/>
                <w:sz w:val="20"/>
                <w:szCs w:val="20"/>
              </w:rPr>
            </w:pPr>
            <w:r w:rsidRPr="00B4134C">
              <w:rPr>
                <w:rFonts w:ascii="Alegreya" w:hAnsi="Alegreya"/>
                <w:sz w:val="20"/>
                <w:szCs w:val="20"/>
              </w:rPr>
              <w:t>•Time over what is included in the primary service of clinical staff time to conduct a pre-visit phone call to screen the patient, provide instructions on social distancing during the visit, check patients for symptoms upon arrival, apply and remove PPE, and perform additional cleaning of the room, equipment, and supplies</w:t>
            </w:r>
          </w:p>
          <w:p w14:paraId="5A2622FE" w14:textId="77777777" w:rsidR="0026169C" w:rsidRPr="00B4134C" w:rsidRDefault="0026169C" w:rsidP="0026169C">
            <w:pPr>
              <w:pStyle w:val="Default"/>
              <w:rPr>
                <w:rFonts w:ascii="Alegreya" w:hAnsi="Alegreya"/>
                <w:sz w:val="20"/>
                <w:szCs w:val="20"/>
              </w:rPr>
            </w:pPr>
            <w:r w:rsidRPr="00B4134C">
              <w:rPr>
                <w:rFonts w:ascii="Alegreya" w:hAnsi="Alegreya"/>
                <w:sz w:val="20"/>
                <w:szCs w:val="20"/>
              </w:rPr>
              <w:t>•Three surgical masks</w:t>
            </w:r>
          </w:p>
          <w:p w14:paraId="0419550D" w14:textId="77777777" w:rsidR="0026169C" w:rsidRPr="00B4134C" w:rsidRDefault="0026169C" w:rsidP="0026169C">
            <w:pPr>
              <w:pStyle w:val="Default"/>
              <w:rPr>
                <w:rFonts w:ascii="Alegreya" w:hAnsi="Alegreya"/>
                <w:sz w:val="20"/>
                <w:szCs w:val="20"/>
              </w:rPr>
            </w:pPr>
            <w:r w:rsidRPr="00B4134C">
              <w:rPr>
                <w:rFonts w:ascii="Alegreya" w:hAnsi="Alegreya"/>
                <w:sz w:val="20"/>
                <w:szCs w:val="20"/>
              </w:rPr>
              <w:t>•Cleaning supplies, including additional quantities of hand sanitizer and disinfecting wipes, sprays, and cleansers</w:t>
            </w:r>
          </w:p>
        </w:tc>
        <w:tc>
          <w:tcPr>
            <w:tcW w:w="2425" w:type="dxa"/>
            <w:shd w:val="clear" w:color="auto" w:fill="DEEAF6" w:themeFill="accent1" w:themeFillTint="33"/>
          </w:tcPr>
          <w:p w14:paraId="5AE080FA" w14:textId="77777777" w:rsidR="0026169C" w:rsidRPr="00B4134C" w:rsidRDefault="0026169C" w:rsidP="0026169C">
            <w:pPr>
              <w:rPr>
                <w:rFonts w:ascii="Alegreya" w:hAnsi="Alegreya"/>
                <w:sz w:val="20"/>
                <w:szCs w:val="20"/>
              </w:rPr>
            </w:pPr>
            <w:r w:rsidRPr="00B4134C">
              <w:rPr>
                <w:rFonts w:ascii="Alegreya" w:hAnsi="Alegreya"/>
                <w:sz w:val="20"/>
                <w:szCs w:val="20"/>
              </w:rPr>
              <w:t>A</w:t>
            </w:r>
            <w:r w:rsidRPr="00B4134C">
              <w:rPr>
                <w:rFonts w:ascii="Alegreya" w:hAnsi="Alegreya"/>
                <w:color w:val="000000"/>
                <w:sz w:val="20"/>
                <w:szCs w:val="20"/>
              </w:rPr>
              <w:t>dditional supplies provided over and above those usually included with a specific service, such as drugs, intravenous (IV) catheters, or trays.</w:t>
            </w:r>
          </w:p>
        </w:tc>
      </w:tr>
      <w:tr w:rsidR="0026169C" w:rsidRPr="00B4134C" w14:paraId="79F6FFCF" w14:textId="77777777" w:rsidTr="00FB6C2F">
        <w:trPr>
          <w:jc w:val="center"/>
        </w:trPr>
        <w:tc>
          <w:tcPr>
            <w:tcW w:w="2515" w:type="dxa"/>
          </w:tcPr>
          <w:p w14:paraId="112805FF" w14:textId="77777777" w:rsidR="0026169C" w:rsidRPr="00B4134C" w:rsidRDefault="0026169C" w:rsidP="0026169C">
            <w:pPr>
              <w:rPr>
                <w:rFonts w:ascii="Alegreya" w:hAnsi="Alegreya"/>
                <w:sz w:val="20"/>
                <w:szCs w:val="20"/>
              </w:rPr>
            </w:pPr>
            <w:r w:rsidRPr="00B4134C">
              <w:rPr>
                <w:rFonts w:ascii="Alegreya" w:hAnsi="Alegreya"/>
                <w:sz w:val="20"/>
                <w:szCs w:val="20"/>
              </w:rPr>
              <w:t>Is this an add-on code?</w:t>
            </w:r>
          </w:p>
        </w:tc>
        <w:tc>
          <w:tcPr>
            <w:tcW w:w="4410" w:type="dxa"/>
            <w:shd w:val="clear" w:color="auto" w:fill="E2EFD9" w:themeFill="accent6" w:themeFillTint="33"/>
          </w:tcPr>
          <w:p w14:paraId="49C82073" w14:textId="75A16032" w:rsidR="0026169C" w:rsidRPr="00B4134C" w:rsidRDefault="0026169C" w:rsidP="00097898">
            <w:pPr>
              <w:rPr>
                <w:rFonts w:ascii="Alegreya" w:hAnsi="Alegreya"/>
                <w:sz w:val="20"/>
                <w:szCs w:val="20"/>
              </w:rPr>
            </w:pPr>
            <w:r w:rsidRPr="00B4134C">
              <w:rPr>
                <w:rFonts w:ascii="Alegreya" w:hAnsi="Alegreya"/>
                <w:sz w:val="20"/>
                <w:szCs w:val="20"/>
              </w:rPr>
              <w:t xml:space="preserve">No -- it does </w:t>
            </w:r>
            <w:r w:rsidRPr="00B4134C">
              <w:rPr>
                <w:rFonts w:ascii="Alegreya" w:hAnsi="Alegreya"/>
                <w:b/>
                <w:bCs/>
                <w:sz w:val="20"/>
                <w:szCs w:val="20"/>
              </w:rPr>
              <w:t>not</w:t>
            </w:r>
            <w:r w:rsidRPr="00B4134C">
              <w:rPr>
                <w:rFonts w:ascii="Alegreya" w:hAnsi="Alegreya"/>
                <w:sz w:val="20"/>
                <w:szCs w:val="20"/>
              </w:rPr>
              <w:t xml:space="preserve"> have to be reported with an Evaluation and Management (E/M) service</w:t>
            </w:r>
            <w:r w:rsidR="00FB6C2F">
              <w:rPr>
                <w:rFonts w:ascii="Alegreya" w:hAnsi="Alegreya"/>
                <w:sz w:val="20"/>
                <w:szCs w:val="20"/>
              </w:rPr>
              <w:t xml:space="preserve"> but if it is, 99072 is separately payable.</w:t>
            </w:r>
          </w:p>
        </w:tc>
        <w:tc>
          <w:tcPr>
            <w:tcW w:w="2425" w:type="dxa"/>
            <w:shd w:val="clear" w:color="auto" w:fill="DEEAF6" w:themeFill="accent1" w:themeFillTint="33"/>
          </w:tcPr>
          <w:p w14:paraId="1D91B5C5"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r w:rsidR="0026169C" w:rsidRPr="00B4134C" w14:paraId="4D180FFB" w14:textId="77777777" w:rsidTr="00FB6C2F">
        <w:trPr>
          <w:jc w:val="center"/>
        </w:trPr>
        <w:tc>
          <w:tcPr>
            <w:tcW w:w="2515" w:type="dxa"/>
          </w:tcPr>
          <w:p w14:paraId="13C09FB6" w14:textId="77777777" w:rsidR="0026169C" w:rsidRPr="00B4134C" w:rsidRDefault="0026169C" w:rsidP="0026169C">
            <w:pPr>
              <w:rPr>
                <w:rFonts w:ascii="Alegreya" w:hAnsi="Alegreya"/>
                <w:sz w:val="20"/>
                <w:szCs w:val="20"/>
              </w:rPr>
            </w:pPr>
            <w:r w:rsidRPr="00B4134C">
              <w:rPr>
                <w:rFonts w:ascii="Alegreya" w:hAnsi="Alegreya"/>
                <w:sz w:val="20"/>
                <w:szCs w:val="20"/>
              </w:rPr>
              <w:t>Is the appropriate reporting of this code diagnosis-specific?</w:t>
            </w:r>
          </w:p>
        </w:tc>
        <w:tc>
          <w:tcPr>
            <w:tcW w:w="4410" w:type="dxa"/>
            <w:shd w:val="clear" w:color="auto" w:fill="E2EFD9" w:themeFill="accent6" w:themeFillTint="33"/>
          </w:tcPr>
          <w:p w14:paraId="5FBBD82A" w14:textId="77777777" w:rsidR="0026169C" w:rsidRPr="00B4134C" w:rsidRDefault="0026169C" w:rsidP="0026169C">
            <w:pPr>
              <w:rPr>
                <w:rFonts w:ascii="Alegreya" w:hAnsi="Alegreya"/>
                <w:sz w:val="20"/>
                <w:szCs w:val="20"/>
              </w:rPr>
            </w:pPr>
            <w:r w:rsidRPr="00B4134C">
              <w:rPr>
                <w:rFonts w:ascii="Alegreya" w:hAnsi="Alegreya"/>
                <w:sz w:val="20"/>
                <w:szCs w:val="20"/>
              </w:rPr>
              <w:t>No -- a</w:t>
            </w:r>
            <w:r w:rsidRPr="00B4134C">
              <w:rPr>
                <w:rFonts w:ascii="Alegreya" w:hAnsi="Alegreya"/>
                <w:color w:val="000000"/>
                <w:sz w:val="20"/>
                <w:szCs w:val="20"/>
              </w:rPr>
              <w:t>ppropriate reporting of code 99072 is not dependent on a specific patient diagnosis (eg, COVID-19).</w:t>
            </w:r>
          </w:p>
        </w:tc>
        <w:tc>
          <w:tcPr>
            <w:tcW w:w="2425" w:type="dxa"/>
            <w:shd w:val="clear" w:color="auto" w:fill="DEEAF6" w:themeFill="accent1" w:themeFillTint="33"/>
          </w:tcPr>
          <w:p w14:paraId="4460B54C" w14:textId="77777777" w:rsidR="0026169C" w:rsidRPr="00B4134C" w:rsidRDefault="0026169C" w:rsidP="0026169C">
            <w:pPr>
              <w:rPr>
                <w:rFonts w:ascii="Alegreya" w:hAnsi="Alegreya"/>
                <w:sz w:val="20"/>
                <w:szCs w:val="20"/>
              </w:rPr>
            </w:pPr>
            <w:r w:rsidRPr="00B4134C">
              <w:rPr>
                <w:rFonts w:ascii="Alegreya" w:hAnsi="Alegreya"/>
                <w:sz w:val="20"/>
                <w:szCs w:val="20"/>
              </w:rPr>
              <w:t>No</w:t>
            </w:r>
          </w:p>
        </w:tc>
      </w:tr>
    </w:tbl>
    <w:p w14:paraId="2F29F530" w14:textId="77777777" w:rsidR="0026169C" w:rsidRPr="00B4134C" w:rsidRDefault="0026169C" w:rsidP="0026169C">
      <w:pPr>
        <w:pStyle w:val="ListParagraph"/>
        <w:rPr>
          <w:rFonts w:ascii="Alegreya" w:hAnsi="Alegreya"/>
        </w:rPr>
      </w:pPr>
    </w:p>
    <w:p w14:paraId="77B00694" w14:textId="0500DE6C" w:rsidR="0026169C" w:rsidRPr="00B4134C" w:rsidRDefault="00097898" w:rsidP="0026169C">
      <w:pPr>
        <w:spacing w:after="0" w:line="240" w:lineRule="auto"/>
        <w:rPr>
          <w:rFonts w:ascii="Alegreya" w:hAnsi="Alegreya"/>
        </w:rPr>
      </w:pPr>
      <w:r>
        <w:rPr>
          <w:rFonts w:ascii="Alegreya" w:hAnsi="Alegreya"/>
        </w:rPr>
        <w:t xml:space="preserve">While </w:t>
      </w:r>
      <w:r w:rsidR="00FB6C2F">
        <w:rPr>
          <w:rFonts w:ascii="Alegreya" w:hAnsi="Alegreya"/>
        </w:rPr>
        <w:t>this</w:t>
      </w:r>
      <w:r>
        <w:rPr>
          <w:rFonts w:ascii="Alegreya" w:hAnsi="Alegreya"/>
        </w:rPr>
        <w:t xml:space="preserve"> code may not </w:t>
      </w:r>
      <w:r w:rsidR="00FB6C2F">
        <w:rPr>
          <w:rFonts w:ascii="Alegreya" w:hAnsi="Alegreya"/>
        </w:rPr>
        <w:t xml:space="preserve">yet </w:t>
      </w:r>
      <w:r>
        <w:rPr>
          <w:rFonts w:ascii="Alegreya" w:hAnsi="Alegreya"/>
        </w:rPr>
        <w:t>be valued or covered, the claim itself should still be adjudicated. To withhold payment hurts our practice</w:t>
      </w:r>
      <w:r w:rsidR="00FB6C2F">
        <w:rPr>
          <w:rFonts w:ascii="Alegreya" w:hAnsi="Alegreya"/>
        </w:rPr>
        <w:t xml:space="preserve">, where we are taking care of </w:t>
      </w:r>
      <w:r>
        <w:rPr>
          <w:rFonts w:ascii="Alegreya" w:hAnsi="Alegreya"/>
        </w:rPr>
        <w:t xml:space="preserve">patients during a pandemic. If </w:t>
      </w:r>
      <w:r w:rsidR="00FB6C2F" w:rsidRPr="00681AD5">
        <w:rPr>
          <w:rFonts w:ascii="Alegreya" w:hAnsi="Alegreya"/>
        </w:rPr>
        <w:t>(Insurance Carrier Name)</w:t>
      </w:r>
      <w:r>
        <w:rPr>
          <w:rFonts w:ascii="Alegreya" w:hAnsi="Alegreya"/>
        </w:rPr>
        <w:t xml:space="preserve"> will not pay u</w:t>
      </w:r>
      <w:r w:rsidR="0026169C" w:rsidRPr="00B4134C">
        <w:rPr>
          <w:rFonts w:ascii="Alegreya" w:hAnsi="Alegreya"/>
        </w:rPr>
        <w:t xml:space="preserve">ntil the Centers for Medicare and Medicaid Services (CMS) publishes values on the Medicare Physician Fee Schedule, </w:t>
      </w:r>
      <w:r>
        <w:rPr>
          <w:rFonts w:ascii="Alegreya" w:hAnsi="Alegreya"/>
        </w:rPr>
        <w:t>we</w:t>
      </w:r>
      <w:r w:rsidR="00AF1D96">
        <w:rPr>
          <w:rFonts w:ascii="Alegreya" w:hAnsi="Alegreya"/>
        </w:rPr>
        <w:t xml:space="preserve"> </w:t>
      </w:r>
      <w:r>
        <w:rPr>
          <w:rFonts w:ascii="Alegreya" w:hAnsi="Alegreya"/>
        </w:rPr>
        <w:t xml:space="preserve">request  </w:t>
      </w:r>
      <w:r w:rsidR="0026169C">
        <w:rPr>
          <w:rFonts w:ascii="Alegreya" w:hAnsi="Alegreya"/>
        </w:rPr>
        <w:t>that you</w:t>
      </w:r>
      <w:r w:rsidR="0026169C" w:rsidRPr="00B4134C">
        <w:rPr>
          <w:rFonts w:ascii="Alegreya" w:hAnsi="Alegreya"/>
        </w:rPr>
        <w:t>:</w:t>
      </w:r>
    </w:p>
    <w:p w14:paraId="36F95B4B" w14:textId="77777777" w:rsidR="0026169C" w:rsidRPr="00B4134C" w:rsidRDefault="0026169C" w:rsidP="0026169C">
      <w:pPr>
        <w:pStyle w:val="ListParagraph"/>
        <w:numPr>
          <w:ilvl w:val="0"/>
          <w:numId w:val="1"/>
        </w:numPr>
        <w:rPr>
          <w:rFonts w:ascii="Alegreya" w:eastAsia="Times New Roman" w:hAnsi="Alegreya"/>
        </w:rPr>
      </w:pPr>
      <w:r w:rsidRPr="00B4134C">
        <w:rPr>
          <w:rFonts w:ascii="Alegreya" w:hAnsi="Alegreya"/>
        </w:rPr>
        <w:t xml:space="preserve">Pay </w:t>
      </w:r>
      <w:r w:rsidRPr="00B4134C">
        <w:rPr>
          <w:rFonts w:ascii="Alegreya" w:eastAsia="Times New Roman" w:hAnsi="Alegreya"/>
        </w:rPr>
        <w:t>at 100% of billed charges until CMS values the code</w:t>
      </w:r>
    </w:p>
    <w:p w14:paraId="17302C15" w14:textId="77777777" w:rsidR="0026169C" w:rsidRPr="00B4134C" w:rsidRDefault="0026169C" w:rsidP="0026169C">
      <w:pPr>
        <w:pStyle w:val="ListParagraph"/>
        <w:numPr>
          <w:ilvl w:val="0"/>
          <w:numId w:val="1"/>
        </w:numPr>
        <w:rPr>
          <w:rFonts w:ascii="Alegreya" w:eastAsia="Times New Roman" w:hAnsi="Alegreya"/>
        </w:rPr>
      </w:pPr>
      <w:r w:rsidRPr="00B4134C">
        <w:rPr>
          <w:rFonts w:ascii="Alegreya" w:eastAsia="Times New Roman" w:hAnsi="Alegreya"/>
        </w:rPr>
        <w:t>Avoid cost shifting expenses to patient responsibility</w:t>
      </w:r>
    </w:p>
    <w:p w14:paraId="2E17E152" w14:textId="77777777" w:rsidR="0026169C" w:rsidRPr="00B4134C" w:rsidRDefault="0026169C" w:rsidP="0026169C">
      <w:pPr>
        <w:spacing w:after="0" w:line="240" w:lineRule="auto"/>
        <w:rPr>
          <w:rFonts w:ascii="Alegreya" w:hAnsi="Alegreya"/>
        </w:rPr>
      </w:pPr>
    </w:p>
    <w:p w14:paraId="652BC966" w14:textId="640BB566" w:rsidR="0026169C" w:rsidRPr="00B4134C" w:rsidRDefault="00AF1D96" w:rsidP="0026169C">
      <w:pPr>
        <w:spacing w:after="0" w:line="240" w:lineRule="auto"/>
        <w:rPr>
          <w:rFonts w:ascii="Alegreya" w:hAnsi="Alegreya"/>
        </w:rPr>
      </w:pPr>
      <w:r>
        <w:rPr>
          <w:rFonts w:ascii="Alegreya" w:hAnsi="Alegreya"/>
        </w:rPr>
        <w:t xml:space="preserve">Additionally, </w:t>
      </w:r>
      <w:r w:rsidR="00FB6C2F">
        <w:rPr>
          <w:rFonts w:ascii="Alegreya" w:hAnsi="Alegreya"/>
        </w:rPr>
        <w:t>we</w:t>
      </w:r>
      <w:r>
        <w:rPr>
          <w:rFonts w:ascii="Alegreya" w:hAnsi="Alegreya"/>
        </w:rPr>
        <w:t xml:space="preserve"> request that o</w:t>
      </w:r>
      <w:r w:rsidR="0026169C" w:rsidRPr="00B4134C">
        <w:rPr>
          <w:rFonts w:ascii="Alegreya" w:hAnsi="Alegreya"/>
        </w:rPr>
        <w:t>nce values have been released, unpaid or denied claims retroactive to 9/8/20 be re-adjudicated for payment.</w:t>
      </w:r>
    </w:p>
    <w:p w14:paraId="5BDA3A40" w14:textId="77777777" w:rsidR="0026169C" w:rsidRPr="00B4134C" w:rsidRDefault="0026169C" w:rsidP="0026169C">
      <w:pPr>
        <w:spacing w:after="0" w:line="240" w:lineRule="auto"/>
        <w:rPr>
          <w:rFonts w:ascii="Alegreya" w:hAnsi="Alegreya"/>
        </w:rPr>
      </w:pPr>
    </w:p>
    <w:p w14:paraId="192C5734" w14:textId="0BC0DFF0"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If you have any questions, please feel free to contact me at ____________________.</w:t>
      </w:r>
    </w:p>
    <w:p w14:paraId="7D8B145E" w14:textId="77777777" w:rsidR="00681AD5" w:rsidRPr="00681AD5" w:rsidRDefault="00681AD5" w:rsidP="0026169C">
      <w:pPr>
        <w:pStyle w:val="NormalWeb"/>
        <w:spacing w:before="0" w:beforeAutospacing="0" w:after="0" w:afterAutospacing="0"/>
        <w:rPr>
          <w:rFonts w:ascii="Alegreya" w:hAnsi="Alegreya"/>
          <w:sz w:val="22"/>
          <w:szCs w:val="22"/>
        </w:rPr>
      </w:pPr>
    </w:p>
    <w:p w14:paraId="65ADB86C" w14:textId="4D256A95" w:rsidR="00F20333" w:rsidRPr="00681AD5" w:rsidRDefault="00F20333" w:rsidP="0026169C">
      <w:pPr>
        <w:pStyle w:val="NormalWeb"/>
        <w:spacing w:before="0" w:beforeAutospacing="0" w:after="0" w:afterAutospacing="0"/>
        <w:rPr>
          <w:rFonts w:ascii="Alegreya" w:hAnsi="Alegreya"/>
          <w:sz w:val="22"/>
          <w:szCs w:val="22"/>
        </w:rPr>
      </w:pPr>
      <w:r w:rsidRPr="00681AD5">
        <w:rPr>
          <w:rFonts w:ascii="Alegreya" w:hAnsi="Alegreya"/>
          <w:sz w:val="22"/>
          <w:szCs w:val="22"/>
        </w:rPr>
        <w:t>Sincerely,</w:t>
      </w:r>
    </w:p>
    <w:sectPr w:rsidR="00F20333" w:rsidRPr="00681AD5" w:rsidSect="00FB6C2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2000503050000020004"/>
    <w:charset w:val="00"/>
    <w:family w:val="auto"/>
    <w:pitch w:val="variable"/>
    <w:sig w:usb0="A00000EF" w:usb1="40002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96054"/>
    <w:multiLevelType w:val="hybridMultilevel"/>
    <w:tmpl w:val="03146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3"/>
    <w:rsid w:val="00097898"/>
    <w:rsid w:val="000F078D"/>
    <w:rsid w:val="0026169C"/>
    <w:rsid w:val="004F054E"/>
    <w:rsid w:val="00643F60"/>
    <w:rsid w:val="006623C4"/>
    <w:rsid w:val="00681AD5"/>
    <w:rsid w:val="00A52860"/>
    <w:rsid w:val="00AF1D96"/>
    <w:rsid w:val="00C83F62"/>
    <w:rsid w:val="00E97E86"/>
    <w:rsid w:val="00EA13D4"/>
    <w:rsid w:val="00EB13A4"/>
    <w:rsid w:val="00F20333"/>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D155"/>
  <w15:chartTrackingRefBased/>
  <w15:docId w15:val="{E15DE063-5149-4A11-A730-8713F74E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169C"/>
    <w:pPr>
      <w:spacing w:after="0" w:line="240" w:lineRule="auto"/>
      <w:ind w:left="720"/>
      <w:contextualSpacing/>
    </w:pPr>
    <w:rPr>
      <w:rFonts w:ascii="Calibri" w:hAnsi="Calibri" w:cs="Calibri"/>
    </w:rPr>
  </w:style>
  <w:style w:type="table" w:styleId="TableGrid">
    <w:name w:val="Table Grid"/>
    <w:basedOn w:val="TableNormal"/>
    <w:uiPriority w:val="39"/>
    <w:rsid w:val="0026169C"/>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69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3C4"/>
    <w:rPr>
      <w:rFonts w:ascii="Segoe UI" w:hAnsi="Segoe UI" w:cs="Segoe UI"/>
      <w:sz w:val="18"/>
      <w:szCs w:val="18"/>
    </w:rPr>
  </w:style>
  <w:style w:type="character" w:styleId="CommentReference">
    <w:name w:val="annotation reference"/>
    <w:basedOn w:val="DefaultParagraphFont"/>
    <w:uiPriority w:val="99"/>
    <w:semiHidden/>
    <w:unhideWhenUsed/>
    <w:rsid w:val="00097898"/>
    <w:rPr>
      <w:sz w:val="16"/>
      <w:szCs w:val="16"/>
    </w:rPr>
  </w:style>
  <w:style w:type="paragraph" w:styleId="CommentText">
    <w:name w:val="annotation text"/>
    <w:basedOn w:val="Normal"/>
    <w:link w:val="CommentTextChar"/>
    <w:uiPriority w:val="99"/>
    <w:semiHidden/>
    <w:unhideWhenUsed/>
    <w:rsid w:val="00097898"/>
    <w:pPr>
      <w:spacing w:line="240" w:lineRule="auto"/>
    </w:pPr>
    <w:rPr>
      <w:sz w:val="20"/>
      <w:szCs w:val="20"/>
    </w:rPr>
  </w:style>
  <w:style w:type="character" w:customStyle="1" w:styleId="CommentTextChar">
    <w:name w:val="Comment Text Char"/>
    <w:basedOn w:val="DefaultParagraphFont"/>
    <w:link w:val="CommentText"/>
    <w:uiPriority w:val="99"/>
    <w:semiHidden/>
    <w:rsid w:val="00097898"/>
    <w:rPr>
      <w:sz w:val="20"/>
      <w:szCs w:val="20"/>
    </w:rPr>
  </w:style>
  <w:style w:type="paragraph" w:styleId="CommentSubject">
    <w:name w:val="annotation subject"/>
    <w:basedOn w:val="CommentText"/>
    <w:next w:val="CommentText"/>
    <w:link w:val="CommentSubjectChar"/>
    <w:uiPriority w:val="99"/>
    <w:semiHidden/>
    <w:unhideWhenUsed/>
    <w:rsid w:val="00097898"/>
    <w:rPr>
      <w:b/>
      <w:bCs/>
    </w:rPr>
  </w:style>
  <w:style w:type="character" w:customStyle="1" w:styleId="CommentSubjectChar">
    <w:name w:val="Comment Subject Char"/>
    <w:basedOn w:val="CommentTextChar"/>
    <w:link w:val="CommentSubject"/>
    <w:uiPriority w:val="99"/>
    <w:semiHidden/>
    <w:rsid w:val="000978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AP Document" ma:contentTypeID="0x01010076BA412F0F2BAF4EA827AC35874FF6BE006D4C0FF7F3D54245BE0158D7CF0A18E0" ma:contentTypeVersion="13" ma:contentTypeDescription="" ma:contentTypeScope="" ma:versionID="546583d498b649bd4cafae07645f8ef0">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ebba52203a23a8eddfd7dcd1de07dd22"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3:TopicTaxHTField0" minOccurs="0"/>
                <xsd:element ref="ns3:TaxCatchAll" minOccurs="0"/>
                <xsd:element ref="ns3:TaxCatchAllLabel" minOccurs="0"/>
                <xsd:element ref="ns3:Managed_x0020_KeywordsTaxHTField0" minOccurs="0"/>
                <xsd:element ref="ns3:Audience1TaxHTField0" minOccurs="0"/>
                <xsd:element ref="ns3:SpecialtyTaxHTField0" minOccurs="0"/>
                <xsd:element ref="ns3:InvolvementTaxHTField0" minOccurs="0"/>
                <xsd:element ref="ns3:Department_x002F_DivisionTaxHTField0" minOccurs="0"/>
                <xsd:element ref="ns3:EffortTaxHTField0" minOccurs="0"/>
                <xsd:element ref="ns3:ResearchTaxHTField0" minOccurs="0"/>
                <xsd:element ref="ns3:EducationTaxHTField0" minOccurs="0"/>
                <xsd:element ref="ns3:AdvocacyTaxHTField0" minOccurs="0"/>
                <xsd:element ref="ns2:Location" minOccurs="0"/>
                <xsd:element ref="ns3:Age_x0020_GroupTaxHTField0" minOccurs="0"/>
                <xsd:element ref="ns3:Member_x0020_TypeTaxHTField0" minOccurs="0"/>
                <xsd:element ref="ns3:News_x0020_ReleaseTaxHTField0" minOccurs="0"/>
                <xsd:element ref="ns3:RequireTerms" minOccurs="0"/>
                <xsd:element ref="ns3:TermsUrl"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5"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27"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TopicTaxHTField0" ma:index="5"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TaxCatchAll" ma:index="6"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Managed_x0020_KeywordsTaxHTField0" ma:index="9" nillable="true" ma:taxonomy="true" ma:internalName="Managed_x0020_KeywordsTaxHTField0" ma:taxonomyFieldName="Managed_x0020_Keywords" ma:displayName="Managed Keywords" ma:default="" ma:fieldId="{09292a44-5adc-467c-b749-355acd646b8c}"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Audience1TaxHTField0" ma:index="12" nillable="true" ma:taxonomy="true" ma:internalName="Audience1TaxHTField0" ma:taxonomyFieldName="Audience1" ma:displayName="AAP Audienc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SpecialtyTaxHTField0" ma:index="14"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16"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Department_x002F_DivisionTaxHTField0" ma:index="18"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EffortTaxHTField0" ma:index="20"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ResearchTaxHTField0" ma:index="22"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EducationTaxHTField0" ma:index="24"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6"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Age_x0020_GroupTaxHTField0" ma:index="29"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Member_x0020_TypeTaxHTField0" ma:index="31"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3"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RequireTerms" ma:index="34" nillable="true" ma:displayName="RequireTerms" ma:default="0" ma:internalName="RequireTerms">
      <xsd:simpleType>
        <xsd:restriction base="dms:Boolean"/>
      </xsd:simpleType>
    </xsd:element>
    <xsd:element name="TermsUrl" ma:index="35" nillable="true" ma:displayName="TermsUrl" ma:internalName="TermsUrl">
      <xsd:simpleType>
        <xsd:restriction base="dms:Text">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44"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SpecialtyTaxHTField0 xmlns="80908208-9484-455a-a843-b0a69b03f1a9">
      <Terms xmlns="http://schemas.microsoft.com/office/infopath/2007/PartnerControls"/>
    </SpecialtyTaxHTField0>
    <EducationTaxHTField0 xmlns="80908208-9484-455a-a843-b0a69b03f1a9">
      <Terms xmlns="http://schemas.microsoft.com/office/infopath/2007/PartnerControls"/>
    </EducationTaxHTField0>
    <KpiDescription xmlns="http://schemas.microsoft.com/sharepoint/v3" xsi:nil="true"/>
    <AAPStaffContact xmlns="80908208-9484-455a-a843-b0a69b03f1a9">Louis Terranova</AAPStaffContact>
    <TermsUrl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TopicTaxHTField0 xmlns="80908208-9484-455a-a843-b0a69b03f1a9">
      <Terms xmlns="http://schemas.microsoft.com/office/infopath/2007/PartnerControls"/>
    </TopicTaxHTField0>
    <InvolvementTaxHTField0 xmlns="80908208-9484-455a-a843-b0a69b03f1a9">
      <Terms xmlns="http://schemas.microsoft.com/office/infopath/2007/PartnerControls"/>
    </InvolvementTaxHTField0>
    <Location xmlns="http://schemas.microsoft.com/sharepoint/v3/fields" xsi:nil="true"/>
    <Member_x0020_TypeTaxHTField0 xmlns="80908208-9484-455a-a843-b0a69b03f1a9">
      <Terms xmlns="http://schemas.microsoft.com/office/infopath/2007/PartnerControls"/>
    </Member_x0020_TypeTaxHTField0>
    <Managed_x0020_KeywordsTaxHTField0 xmlns="80908208-9484-455a-a843-b0a69b03f1a9">
      <Terms xmlns="http://schemas.microsoft.com/office/infopath/2007/PartnerControls"/>
    </Managed_x0020_KeywordsTaxHTField0>
    <EffortTaxHTField0 xmlns="80908208-9484-455a-a843-b0a69b03f1a9">
      <Terms xmlns="http://schemas.microsoft.com/office/infopath/2007/PartnerControls"/>
    </EffortTaxHTField0>
    <TaxCatchAll xmlns="80908208-9484-455a-a843-b0a69b03f1a9"/>
    <Department_x002F_DivisionTaxHTField0 xmlns="80908208-9484-455a-a843-b0a69b03f1a9">
      <Terms xmlns="http://schemas.microsoft.com/office/infopath/2007/PartnerControls"/>
    </Department_x002F_DivisionTaxHTField0>
    <_dlc_DocId xmlns="80908208-9484-455a-a843-b0a69b03f1a9">AAPORG-345-1176</_dlc_DocId>
    <_dlc_DocIdUrl xmlns="80908208-9484-455a-a843-b0a69b03f1a9">
      <Url>https://aap.devaap.org/en-us/my-aap/_layouts/15/DocIdRedir.aspx?ID=AAPORG-345-1176</Url>
      <Description>AAPORG-345-1176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231296-26C9-41E9-8650-2EBC0BFCB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0908208-9484-455a-a843-b0a69b03f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ACD58-06E7-434F-B365-FF4EF74FE72A}">
  <ds:schemaRefs>
    <ds:schemaRef ds:uri="http://schemas.microsoft.com/office/2006/metadata/properties"/>
    <ds:schemaRef ds:uri="http://schemas.microsoft.com/office/infopath/2007/PartnerControls"/>
    <ds:schemaRef ds:uri="80908208-9484-455a-a843-b0a69b03f1a9"/>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E4FA27D9-6EA5-43B5-8272-1976AB12A189}">
  <ds:schemaRefs>
    <ds:schemaRef ds:uri="http://schemas.microsoft.com/sharepoint/v3/contenttype/forms"/>
  </ds:schemaRefs>
</ds:datastoreItem>
</file>

<file path=customXml/itemProps4.xml><?xml version="1.0" encoding="utf-8"?>
<ds:datastoreItem xmlns:ds="http://schemas.openxmlformats.org/officeDocument/2006/customXml" ds:itemID="{F609451C-806D-40E9-A082-9E959BDDCB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Critical Care Provided on Same or Consecutive Day</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99072 Member Template Letter</dc:title>
  <dc:subject/>
  <dc:creator>Linda Walsh</dc:creator>
  <cp:keywords/>
  <dc:description/>
  <cp:lastModifiedBy>Kim, Sunnah</cp:lastModifiedBy>
  <cp:revision>2</cp:revision>
  <dcterms:created xsi:type="dcterms:W3CDTF">2020-11-11T15:21:00Z</dcterms:created>
  <dcterms:modified xsi:type="dcterms:W3CDTF">2020-11-11T15:21:00Z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0x01010076BA412F0F2BAF4EA827AC35874FF6BE006D4C0FF7F3D54245BE0158D7CF0A18E0</vt:lpwstr>
  </property>
  <property fmtid="{D5CDD505-2E9C-101B-9397-08002B2CF9AE}" pid="3" name="_dlc_DocIdItemGuid">
    <vt:lpwstr>290004f8-3a1d-41e3-b70c-122c4ce4c797</vt:lpwstr>
  </property>
  <property fmtid="{D5CDD505-2E9C-101B-9397-08002B2CF9AE}" pid="4" name="Audience1">
    <vt:lpwstr/>
  </property>
  <property fmtid="{D5CDD505-2E9C-101B-9397-08002B2CF9AE}" pid="5" name="Advocacy">
    <vt:lpwstr/>
  </property>
  <property fmtid="{D5CDD505-2E9C-101B-9397-08002B2CF9AE}" pid="6" name="Topic">
    <vt:lpwstr/>
  </property>
  <property fmtid="{D5CDD505-2E9C-101B-9397-08002B2CF9AE}" pid="7" name="Research">
    <vt:lpwstr/>
  </property>
  <property fmtid="{D5CDD505-2E9C-101B-9397-08002B2CF9AE}" pid="8" name="Department/Division">
    <vt:lpwstr/>
  </property>
  <property fmtid="{D5CDD505-2E9C-101B-9397-08002B2CF9AE}" pid="9" name="Managed Keywords">
    <vt:lpwstr/>
  </property>
  <property fmtid="{D5CDD505-2E9C-101B-9397-08002B2CF9AE}" pid="10" name="News Release">
    <vt:lpwstr/>
  </property>
  <property fmtid="{D5CDD505-2E9C-101B-9397-08002B2CF9AE}" pid="11" name="Effort">
    <vt:lpwstr/>
  </property>
  <property fmtid="{D5CDD505-2E9C-101B-9397-08002B2CF9AE}" pid="12" name="Involvemen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